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AAFA5">
      <w:pPr>
        <w:jc w:val="both"/>
        <w:rPr>
          <w:rFonts w:ascii="宋体" w:hAnsi="宋体" w:cs="宋体"/>
          <w:b/>
          <w:bCs/>
          <w:sz w:val="48"/>
          <w:szCs w:val="48"/>
          <w:highlight w:val="none"/>
        </w:rPr>
      </w:pPr>
    </w:p>
    <w:p w14:paraId="6E666C9A">
      <w:pPr>
        <w:jc w:val="center"/>
        <w:rPr>
          <w:rFonts w:ascii="宋体" w:hAnsi="宋体" w:cs="宋体"/>
          <w:b/>
          <w:bCs/>
          <w:sz w:val="32"/>
          <w:szCs w:val="32"/>
          <w:highlight w:val="none"/>
        </w:rPr>
      </w:pPr>
    </w:p>
    <w:p w14:paraId="384D36D2">
      <w:pPr>
        <w:jc w:val="center"/>
        <w:rPr>
          <w:rFonts w:hint="default" w:ascii="宋体" w:hAnsi="宋体" w:cs="宋体"/>
          <w:b/>
          <w:spacing w:val="20"/>
          <w:sz w:val="48"/>
          <w:szCs w:val="48"/>
          <w:highlight w:val="none"/>
          <w:lang w:val="en-US" w:eastAsia="zh-CN"/>
        </w:rPr>
      </w:pPr>
      <w:r>
        <w:rPr>
          <w:rFonts w:hint="eastAsia" w:ascii="宋体" w:hAnsi="宋体" w:cs="宋体"/>
          <w:b/>
          <w:spacing w:val="20"/>
          <w:sz w:val="48"/>
          <w:szCs w:val="48"/>
          <w:highlight w:val="none"/>
          <w:lang w:eastAsia="zh-CN"/>
        </w:rPr>
        <w:t>巢湖学院优质课程资源与课程资源平台服务项目</w:t>
      </w:r>
    </w:p>
    <w:p w14:paraId="2C578386">
      <w:pPr>
        <w:pStyle w:val="3"/>
        <w:rPr>
          <w:rFonts w:hint="default" w:eastAsia="黑体"/>
          <w:highlight w:val="none"/>
          <w:lang w:val="en-US" w:eastAsia="zh-CN"/>
        </w:rPr>
      </w:pPr>
      <w:r>
        <w:rPr>
          <w:rFonts w:hint="eastAsia"/>
          <w:highlight w:val="none"/>
          <w:lang w:val="en-US" w:eastAsia="zh-CN"/>
        </w:rPr>
        <w:t xml:space="preserve">  </w:t>
      </w:r>
    </w:p>
    <w:p w14:paraId="69817030">
      <w:pPr>
        <w:jc w:val="center"/>
        <w:rPr>
          <w:rFonts w:ascii="宋体" w:hAnsi="宋体" w:cs="宋体"/>
          <w:b/>
          <w:sz w:val="72"/>
          <w:szCs w:val="72"/>
          <w:highlight w:val="none"/>
        </w:rPr>
      </w:pPr>
      <w:r>
        <w:rPr>
          <w:rFonts w:hint="eastAsia" w:ascii="宋体" w:hAnsi="宋体" w:cs="宋体"/>
          <w:b/>
          <w:sz w:val="72"/>
          <w:szCs w:val="72"/>
          <w:highlight w:val="none"/>
        </w:rPr>
        <w:t>磋商文件</w:t>
      </w:r>
    </w:p>
    <w:p w14:paraId="4EC01858">
      <w:pPr>
        <w:jc w:val="center"/>
        <w:rPr>
          <w:rFonts w:ascii="宋体" w:hAnsi="宋体" w:cs="宋体"/>
          <w:b/>
          <w:sz w:val="28"/>
          <w:szCs w:val="28"/>
          <w:highlight w:val="none"/>
        </w:rPr>
      </w:pPr>
    </w:p>
    <w:p w14:paraId="65201688">
      <w:pPr>
        <w:jc w:val="center"/>
        <w:rPr>
          <w:highlight w:val="none"/>
        </w:rPr>
      </w:pPr>
      <w:r>
        <w:rPr>
          <w:rFonts w:hint="eastAsia" w:ascii="宋体" w:hAnsi="宋体" w:cs="宋体"/>
          <w:b/>
          <w:sz w:val="28"/>
          <w:szCs w:val="28"/>
          <w:highlight w:val="none"/>
        </w:rPr>
        <w:t>项目编号：</w:t>
      </w:r>
      <w:r>
        <w:rPr>
          <w:rFonts w:hint="eastAsia" w:ascii="宋体" w:hAnsi="宋体" w:cs="宋体"/>
          <w:b/>
          <w:sz w:val="28"/>
          <w:szCs w:val="28"/>
          <w:highlight w:val="none"/>
          <w:lang w:eastAsia="zh-CN"/>
        </w:rPr>
        <w:t>HCZB-2024-ZB1285</w:t>
      </w:r>
    </w:p>
    <w:p w14:paraId="010996DC">
      <w:pPr>
        <w:spacing w:line="480" w:lineRule="auto"/>
        <w:jc w:val="center"/>
        <w:rPr>
          <w:rFonts w:ascii="宋体" w:hAnsi="宋体" w:cs="宋体"/>
          <w:b/>
          <w:sz w:val="32"/>
          <w:szCs w:val="32"/>
          <w:highlight w:val="none"/>
        </w:rPr>
      </w:pPr>
    </w:p>
    <w:p w14:paraId="64577712">
      <w:pPr>
        <w:spacing w:line="480" w:lineRule="auto"/>
        <w:jc w:val="center"/>
        <w:rPr>
          <w:rFonts w:ascii="宋体" w:hAnsi="宋体" w:cs="宋体"/>
          <w:b/>
          <w:sz w:val="32"/>
          <w:szCs w:val="32"/>
          <w:highlight w:val="none"/>
        </w:rPr>
      </w:pPr>
    </w:p>
    <w:p w14:paraId="59803058">
      <w:pPr>
        <w:tabs>
          <w:tab w:val="left" w:pos="4620"/>
        </w:tabs>
        <w:spacing w:line="480" w:lineRule="auto"/>
        <w:jc w:val="both"/>
        <w:rPr>
          <w:rFonts w:hint="eastAsia" w:ascii="宋体" w:hAnsi="宋体" w:cs="宋体"/>
          <w:b/>
          <w:sz w:val="30"/>
          <w:szCs w:val="30"/>
          <w:highlight w:val="none"/>
        </w:rPr>
      </w:pPr>
    </w:p>
    <w:p w14:paraId="54EFA45E">
      <w:pPr>
        <w:tabs>
          <w:tab w:val="left" w:pos="4620"/>
        </w:tabs>
        <w:spacing w:line="480" w:lineRule="auto"/>
        <w:jc w:val="both"/>
        <w:rPr>
          <w:rFonts w:hint="eastAsia" w:ascii="宋体" w:hAnsi="宋体" w:cs="宋体"/>
          <w:b/>
          <w:sz w:val="30"/>
          <w:szCs w:val="30"/>
          <w:highlight w:val="none"/>
        </w:rPr>
      </w:pPr>
    </w:p>
    <w:p w14:paraId="066FB788">
      <w:pPr>
        <w:tabs>
          <w:tab w:val="left" w:pos="4620"/>
        </w:tabs>
        <w:spacing w:line="480" w:lineRule="auto"/>
        <w:jc w:val="both"/>
        <w:rPr>
          <w:rFonts w:hint="eastAsia" w:ascii="宋体" w:hAnsi="宋体" w:cs="宋体"/>
          <w:b/>
          <w:sz w:val="30"/>
          <w:szCs w:val="30"/>
          <w:highlight w:val="none"/>
        </w:rPr>
      </w:pPr>
    </w:p>
    <w:p w14:paraId="5F8C2C0E">
      <w:pPr>
        <w:tabs>
          <w:tab w:val="left" w:pos="4620"/>
        </w:tabs>
        <w:spacing w:line="480" w:lineRule="auto"/>
        <w:ind w:firstLine="1205" w:firstLineChars="400"/>
        <w:jc w:val="both"/>
        <w:rPr>
          <w:rFonts w:hint="eastAsia" w:ascii="宋体" w:hAnsi="宋体" w:eastAsia="宋体" w:cs="宋体"/>
          <w:b/>
          <w:sz w:val="30"/>
          <w:szCs w:val="30"/>
          <w:highlight w:val="none"/>
          <w:lang w:val="en-US" w:eastAsia="zh-CN"/>
        </w:rPr>
      </w:pPr>
      <w:r>
        <w:rPr>
          <w:rFonts w:hint="eastAsia" w:ascii="宋体" w:hAnsi="宋体" w:cs="宋体"/>
          <w:b/>
          <w:sz w:val="30"/>
          <w:szCs w:val="30"/>
          <w:highlight w:val="none"/>
          <w:lang w:val="en-US" w:eastAsia="zh-CN"/>
        </w:rPr>
        <w:t xml:space="preserve"> </w:t>
      </w:r>
    </w:p>
    <w:p w14:paraId="0BD41C9C">
      <w:pPr>
        <w:tabs>
          <w:tab w:val="left" w:pos="4620"/>
        </w:tabs>
        <w:spacing w:line="480" w:lineRule="auto"/>
        <w:ind w:firstLine="1205" w:firstLineChars="400"/>
        <w:jc w:val="center"/>
        <w:rPr>
          <w:rFonts w:hint="eastAsia" w:ascii="宋体" w:hAnsi="宋体" w:cs="宋体"/>
          <w:b/>
          <w:sz w:val="30"/>
          <w:szCs w:val="30"/>
          <w:highlight w:val="none"/>
        </w:rPr>
      </w:pPr>
    </w:p>
    <w:p w14:paraId="302F78A4">
      <w:pPr>
        <w:tabs>
          <w:tab w:val="left" w:pos="4620"/>
        </w:tabs>
        <w:spacing w:line="480" w:lineRule="auto"/>
        <w:jc w:val="center"/>
        <w:rPr>
          <w:rFonts w:hint="eastAsia" w:ascii="宋体" w:hAnsi="宋体" w:eastAsia="宋体" w:cs="宋体"/>
          <w:b/>
          <w:sz w:val="30"/>
          <w:szCs w:val="30"/>
          <w:highlight w:val="none"/>
          <w:lang w:eastAsia="zh-CN"/>
        </w:rPr>
      </w:pPr>
      <w:r>
        <w:rPr>
          <w:rFonts w:hint="eastAsia" w:ascii="宋体" w:hAnsi="宋体" w:cs="宋体"/>
          <w:b/>
          <w:sz w:val="30"/>
          <w:szCs w:val="30"/>
          <w:highlight w:val="none"/>
        </w:rPr>
        <w:t>采 购 人：</w:t>
      </w:r>
      <w:r>
        <w:rPr>
          <w:rFonts w:hint="eastAsia" w:ascii="宋体" w:hAnsi="宋体" w:cs="宋体"/>
          <w:b/>
          <w:sz w:val="30"/>
          <w:szCs w:val="30"/>
          <w:highlight w:val="none"/>
          <w:lang w:eastAsia="zh-CN"/>
        </w:rPr>
        <w:t>巢  湖  学  院</w:t>
      </w:r>
    </w:p>
    <w:p w14:paraId="42D9AE73">
      <w:pPr>
        <w:tabs>
          <w:tab w:val="left" w:pos="4620"/>
        </w:tabs>
        <w:spacing w:line="480" w:lineRule="auto"/>
        <w:jc w:val="center"/>
        <w:rPr>
          <w:rFonts w:hint="eastAsia" w:ascii="宋体" w:hAnsi="宋体" w:eastAsia="宋体" w:cs="宋体"/>
          <w:b/>
          <w:sz w:val="30"/>
          <w:szCs w:val="30"/>
          <w:highlight w:val="none"/>
          <w:lang w:eastAsia="zh-CN"/>
        </w:rPr>
      </w:pPr>
      <w:r>
        <w:rPr>
          <w:rFonts w:hint="eastAsia" w:ascii="宋体" w:hAnsi="宋体" w:cs="宋体"/>
          <w:b/>
          <w:sz w:val="30"/>
          <w:szCs w:val="30"/>
          <w:highlight w:val="none"/>
        </w:rPr>
        <w:t>代理机构：</w:t>
      </w:r>
      <w:r>
        <w:rPr>
          <w:rFonts w:hint="eastAsia" w:ascii="宋体" w:hAnsi="宋体" w:cs="宋体"/>
          <w:b/>
          <w:sz w:val="30"/>
          <w:szCs w:val="30"/>
          <w:highlight w:val="none"/>
          <w:lang w:eastAsia="zh-CN"/>
        </w:rPr>
        <w:t>华采招标集团有限公司</w:t>
      </w:r>
    </w:p>
    <w:p w14:paraId="777EC81B">
      <w:pPr>
        <w:pStyle w:val="27"/>
        <w:ind w:firstLine="640"/>
        <w:rPr>
          <w:highlight w:val="none"/>
        </w:rPr>
      </w:pPr>
    </w:p>
    <w:p w14:paraId="0CC314B6">
      <w:pPr>
        <w:tabs>
          <w:tab w:val="left" w:pos="4620"/>
        </w:tabs>
        <w:spacing w:line="480" w:lineRule="auto"/>
        <w:jc w:val="center"/>
        <w:rPr>
          <w:rFonts w:ascii="宋体" w:hAnsi="宋体" w:cs="宋体"/>
          <w:b/>
          <w:sz w:val="32"/>
          <w:szCs w:val="32"/>
          <w:highlight w:val="none"/>
        </w:rPr>
      </w:pPr>
      <w:r>
        <w:rPr>
          <w:rFonts w:hint="eastAsia" w:ascii="宋体" w:hAnsi="宋体" w:cs="宋体"/>
          <w:b/>
          <w:sz w:val="32"/>
          <w:szCs w:val="32"/>
          <w:highlight w:val="none"/>
        </w:rPr>
        <w:t>二〇二</w:t>
      </w:r>
      <w:r>
        <w:rPr>
          <w:rFonts w:hint="eastAsia" w:ascii="宋体" w:hAnsi="宋体" w:cs="宋体"/>
          <w:b/>
          <w:sz w:val="32"/>
          <w:szCs w:val="32"/>
          <w:highlight w:val="none"/>
          <w:lang w:eastAsia="zh-CN"/>
        </w:rPr>
        <w:t>四</w:t>
      </w:r>
      <w:r>
        <w:rPr>
          <w:rFonts w:hint="eastAsia" w:ascii="宋体" w:hAnsi="宋体" w:cs="宋体"/>
          <w:b/>
          <w:sz w:val="32"/>
          <w:szCs w:val="32"/>
          <w:highlight w:val="none"/>
        </w:rPr>
        <w:t>年</w:t>
      </w:r>
      <w:r>
        <w:rPr>
          <w:rFonts w:hint="eastAsia" w:ascii="宋体" w:hAnsi="宋体" w:cs="宋体"/>
          <w:b/>
          <w:sz w:val="32"/>
          <w:szCs w:val="32"/>
          <w:highlight w:val="none"/>
          <w:lang w:eastAsia="zh-CN"/>
        </w:rPr>
        <w:t>八</w:t>
      </w:r>
      <w:r>
        <w:rPr>
          <w:rFonts w:hint="eastAsia" w:ascii="宋体" w:hAnsi="宋体" w:cs="宋体"/>
          <w:b/>
          <w:sz w:val="32"/>
          <w:szCs w:val="32"/>
          <w:highlight w:val="none"/>
        </w:rPr>
        <w:t>月</w:t>
      </w:r>
    </w:p>
    <w:p w14:paraId="2969BFD1">
      <w:pPr>
        <w:pStyle w:val="2"/>
        <w:spacing w:line="240" w:lineRule="auto"/>
        <w:rPr>
          <w:rFonts w:asciiTheme="majorEastAsia" w:hAnsiTheme="majorEastAsia" w:eastAsiaTheme="majorEastAsia" w:cstheme="majorEastAsia"/>
          <w:sz w:val="36"/>
          <w:szCs w:val="36"/>
          <w:highlight w:val="none"/>
        </w:rPr>
      </w:pPr>
    </w:p>
    <w:sdt>
      <w:sdtPr>
        <w:rPr>
          <w:rFonts w:hint="eastAsia" w:asciiTheme="minorEastAsia" w:hAnsiTheme="minorEastAsia" w:eastAsiaTheme="minorEastAsia" w:cstheme="minorEastAsia"/>
          <w:b/>
          <w:bCs/>
          <w:sz w:val="30"/>
          <w:szCs w:val="30"/>
          <w:highlight w:val="none"/>
        </w:rPr>
        <w:id w:val="147480108"/>
        <w:docPartObj>
          <w:docPartGallery w:val="Table of Contents"/>
          <w:docPartUnique/>
        </w:docPartObj>
      </w:sdtPr>
      <w:sdtEndPr>
        <w:rPr>
          <w:rFonts w:hint="eastAsia" w:ascii="宋体" w:hAnsi="宋体" w:eastAsia="宋体" w:cs="宋体"/>
          <w:b/>
          <w:bCs/>
          <w:sz w:val="28"/>
          <w:szCs w:val="28"/>
          <w:highlight w:val="none"/>
        </w:rPr>
      </w:sdtEndPr>
      <w:sdtContent>
        <w:p w14:paraId="694675D3">
          <w:pPr>
            <w:spacing w:line="720" w:lineRule="auto"/>
            <w:jc w:val="center"/>
            <w:rPr>
              <w:rFonts w:asciiTheme="minorEastAsia" w:hAnsiTheme="minorEastAsia" w:eastAsiaTheme="minorEastAsia" w:cstheme="minorEastAsia"/>
              <w:b/>
              <w:bCs/>
              <w:sz w:val="40"/>
              <w:szCs w:val="40"/>
              <w:highlight w:val="none"/>
            </w:rPr>
          </w:pPr>
          <w:r>
            <w:rPr>
              <w:rFonts w:hint="eastAsia" w:asciiTheme="minorEastAsia" w:hAnsiTheme="minorEastAsia" w:eastAsiaTheme="minorEastAsia" w:cstheme="minorEastAsia"/>
              <w:b/>
              <w:bCs/>
              <w:sz w:val="40"/>
              <w:szCs w:val="40"/>
              <w:highlight w:val="none"/>
              <w:lang w:eastAsia="zh-CN"/>
            </w:rPr>
            <w:t>目</w:t>
          </w:r>
          <w:r>
            <w:rPr>
              <w:rFonts w:hint="eastAsia" w:asciiTheme="minorEastAsia" w:hAnsiTheme="minorEastAsia" w:eastAsiaTheme="minorEastAsia" w:cstheme="minorEastAsia"/>
              <w:b/>
              <w:bCs/>
              <w:sz w:val="40"/>
              <w:szCs w:val="40"/>
              <w:highlight w:val="none"/>
            </w:rPr>
            <w:t xml:space="preserve">    录</w:t>
          </w:r>
        </w:p>
        <w:p w14:paraId="6E9079AA">
          <w:pPr>
            <w:pStyle w:val="20"/>
            <w:tabs>
              <w:tab w:val="right" w:leader="dot" w:pos="9049"/>
            </w:tabs>
            <w:spacing w:line="600" w:lineRule="auto"/>
            <w:rPr>
              <w:rFonts w:hint="eastAsia" w:ascii="宋体" w:hAnsi="宋体" w:eastAsia="宋体" w:cs="宋体"/>
              <w:b/>
              <w:bCs/>
              <w:sz w:val="28"/>
              <w:szCs w:val="28"/>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TOC \o "1-1" \h \u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_Toc22904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第一章  磋商公告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_Toc22904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r>
            <w:rPr>
              <w:rFonts w:hint="eastAsia" w:ascii="宋体" w:hAnsi="宋体" w:eastAsia="宋体" w:cs="宋体"/>
              <w:b/>
              <w:bCs/>
              <w:sz w:val="28"/>
              <w:szCs w:val="28"/>
              <w:highlight w:val="none"/>
            </w:rPr>
            <w:fldChar w:fldCharType="end"/>
          </w:r>
        </w:p>
        <w:p w14:paraId="0074FD74">
          <w:pPr>
            <w:pStyle w:val="20"/>
            <w:tabs>
              <w:tab w:val="right" w:leader="dot" w:pos="9049"/>
            </w:tabs>
            <w:spacing w:line="600" w:lineRule="auto"/>
            <w:rPr>
              <w:rFonts w:hint="eastAsia" w:ascii="宋体" w:hAnsi="宋体" w:eastAsia="宋体" w:cs="宋体"/>
              <w:b/>
              <w:bCs/>
              <w:sz w:val="28"/>
              <w:szCs w:val="28"/>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_Toc28468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第二章  供应商须知及前附表</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_Toc28468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w:t>
          </w:r>
          <w:r>
            <w:rPr>
              <w:rFonts w:hint="eastAsia" w:ascii="宋体" w:hAnsi="宋体" w:eastAsia="宋体" w:cs="宋体"/>
              <w:b/>
              <w:bCs/>
              <w:sz w:val="28"/>
              <w:szCs w:val="28"/>
            </w:rPr>
            <w:fldChar w:fldCharType="end"/>
          </w:r>
          <w:r>
            <w:rPr>
              <w:rFonts w:hint="eastAsia" w:ascii="宋体" w:hAnsi="宋体" w:eastAsia="宋体" w:cs="宋体"/>
              <w:b/>
              <w:bCs/>
              <w:sz w:val="28"/>
              <w:szCs w:val="28"/>
              <w:highlight w:val="none"/>
            </w:rPr>
            <w:fldChar w:fldCharType="end"/>
          </w:r>
        </w:p>
        <w:p w14:paraId="58AB6D76">
          <w:pPr>
            <w:pStyle w:val="20"/>
            <w:tabs>
              <w:tab w:val="right" w:leader="dot" w:pos="9049"/>
            </w:tabs>
            <w:spacing w:line="600" w:lineRule="auto"/>
            <w:rPr>
              <w:rFonts w:hint="eastAsia" w:ascii="宋体" w:hAnsi="宋体" w:eastAsia="宋体" w:cs="宋体"/>
              <w:b/>
              <w:bCs/>
              <w:sz w:val="28"/>
              <w:szCs w:val="28"/>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_Toc17996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第三章  磋商办法</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_Toc17996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19</w:t>
          </w:r>
          <w:r>
            <w:rPr>
              <w:rFonts w:hint="eastAsia" w:ascii="宋体" w:hAnsi="宋体" w:eastAsia="宋体" w:cs="宋体"/>
              <w:b/>
              <w:bCs/>
              <w:sz w:val="28"/>
              <w:szCs w:val="28"/>
            </w:rPr>
            <w:fldChar w:fldCharType="end"/>
          </w:r>
          <w:r>
            <w:rPr>
              <w:rFonts w:hint="eastAsia" w:ascii="宋体" w:hAnsi="宋体" w:eastAsia="宋体" w:cs="宋体"/>
              <w:b/>
              <w:bCs/>
              <w:sz w:val="28"/>
              <w:szCs w:val="28"/>
              <w:highlight w:val="none"/>
            </w:rPr>
            <w:fldChar w:fldCharType="end"/>
          </w:r>
        </w:p>
        <w:p w14:paraId="0D5DE5F9">
          <w:pPr>
            <w:pStyle w:val="20"/>
            <w:tabs>
              <w:tab w:val="right" w:leader="dot" w:pos="9049"/>
            </w:tabs>
            <w:spacing w:line="600" w:lineRule="auto"/>
            <w:rPr>
              <w:rFonts w:hint="eastAsia" w:ascii="宋体" w:hAnsi="宋体" w:eastAsia="宋体" w:cs="宋体"/>
              <w:b/>
              <w:bCs/>
              <w:sz w:val="28"/>
              <w:szCs w:val="28"/>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_Toc911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 xml:space="preserve">第四章  </w:t>
          </w:r>
          <w:r>
            <w:rPr>
              <w:rFonts w:hint="eastAsia" w:ascii="宋体" w:hAnsi="宋体" w:eastAsia="宋体" w:cs="宋体"/>
              <w:b/>
              <w:bCs/>
              <w:sz w:val="28"/>
              <w:szCs w:val="28"/>
              <w:highlight w:val="none"/>
              <w:lang w:eastAsia="zh-CN"/>
            </w:rPr>
            <w:t>采购需求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_Toc911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28</w:t>
          </w:r>
          <w:r>
            <w:rPr>
              <w:rFonts w:hint="eastAsia" w:ascii="宋体" w:hAnsi="宋体" w:eastAsia="宋体" w:cs="宋体"/>
              <w:b/>
              <w:bCs/>
              <w:sz w:val="28"/>
              <w:szCs w:val="28"/>
            </w:rPr>
            <w:fldChar w:fldCharType="end"/>
          </w:r>
          <w:r>
            <w:rPr>
              <w:rFonts w:hint="eastAsia" w:ascii="宋体" w:hAnsi="宋体" w:eastAsia="宋体" w:cs="宋体"/>
              <w:b/>
              <w:bCs/>
              <w:sz w:val="28"/>
              <w:szCs w:val="28"/>
              <w:highlight w:val="none"/>
            </w:rPr>
            <w:fldChar w:fldCharType="end"/>
          </w:r>
        </w:p>
        <w:p w14:paraId="3565FF60">
          <w:pPr>
            <w:pStyle w:val="20"/>
            <w:tabs>
              <w:tab w:val="right" w:leader="dot" w:pos="9049"/>
            </w:tabs>
            <w:spacing w:line="600" w:lineRule="auto"/>
            <w:rPr>
              <w:rFonts w:hint="eastAsia" w:ascii="宋体" w:hAnsi="宋体" w:eastAsia="宋体" w:cs="宋体"/>
              <w:b/>
              <w:bCs/>
              <w:sz w:val="28"/>
              <w:szCs w:val="28"/>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_Toc8657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rPr>
            <w:t>第五章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 xml:space="preserve"> </w:t>
          </w:r>
          <w:r>
            <w:rPr>
              <w:rFonts w:hint="eastAsia" w:ascii="宋体" w:hAnsi="宋体" w:eastAsia="宋体" w:cs="宋体"/>
              <w:b/>
              <w:bCs/>
              <w:sz w:val="28"/>
              <w:szCs w:val="28"/>
              <w:highlight w:val="none"/>
            </w:rPr>
            <w:t>合同主要内容</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_Toc8657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49</w:t>
          </w:r>
          <w:r>
            <w:rPr>
              <w:rFonts w:hint="eastAsia" w:ascii="宋体" w:hAnsi="宋体" w:eastAsia="宋体" w:cs="宋体"/>
              <w:b/>
              <w:bCs/>
              <w:sz w:val="28"/>
              <w:szCs w:val="28"/>
            </w:rPr>
            <w:fldChar w:fldCharType="end"/>
          </w:r>
          <w:r>
            <w:rPr>
              <w:rFonts w:hint="eastAsia" w:ascii="宋体" w:hAnsi="宋体" w:eastAsia="宋体" w:cs="宋体"/>
              <w:b/>
              <w:bCs/>
              <w:sz w:val="28"/>
              <w:szCs w:val="28"/>
              <w:highlight w:val="none"/>
            </w:rPr>
            <w:fldChar w:fldCharType="end"/>
          </w:r>
        </w:p>
        <w:p w14:paraId="503A5929">
          <w:pPr>
            <w:pStyle w:val="20"/>
            <w:tabs>
              <w:tab w:val="right" w:leader="dot" w:pos="9049"/>
            </w:tabs>
            <w:spacing w:line="600" w:lineRule="auto"/>
            <w:rPr>
              <w:rFonts w:hint="eastAsia" w:ascii="宋体" w:hAnsi="宋体" w:eastAsia="宋体" w:cs="宋体"/>
              <w:b/>
              <w:bCs/>
              <w:sz w:val="28"/>
              <w:szCs w:val="28"/>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_Toc11221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第六章  响应文件格式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_Toc11221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50</w:t>
          </w:r>
          <w:r>
            <w:rPr>
              <w:rFonts w:hint="eastAsia" w:ascii="宋体" w:hAnsi="宋体" w:eastAsia="宋体" w:cs="宋体"/>
              <w:b/>
              <w:bCs/>
              <w:sz w:val="28"/>
              <w:szCs w:val="28"/>
            </w:rPr>
            <w:fldChar w:fldCharType="end"/>
          </w:r>
          <w:r>
            <w:rPr>
              <w:rFonts w:hint="eastAsia" w:ascii="宋体" w:hAnsi="宋体" w:eastAsia="宋体" w:cs="宋体"/>
              <w:b/>
              <w:bCs/>
              <w:sz w:val="28"/>
              <w:szCs w:val="28"/>
              <w:highlight w:val="none"/>
            </w:rPr>
            <w:fldChar w:fldCharType="end"/>
          </w:r>
        </w:p>
        <w:p w14:paraId="5CFBF611">
          <w:pPr>
            <w:pStyle w:val="27"/>
            <w:spacing w:line="600" w:lineRule="auto"/>
            <w:ind w:firstLine="560"/>
            <w:rPr>
              <w:rFonts w:hint="eastAsia" w:ascii="宋体" w:hAnsi="宋体" w:eastAsia="宋体" w:cs="宋体"/>
              <w:sz w:val="28"/>
              <w:szCs w:val="28"/>
              <w:highlight w:val="none"/>
            </w:rPr>
          </w:pPr>
          <w:r>
            <w:rPr>
              <w:rFonts w:hint="eastAsia" w:ascii="宋体" w:hAnsi="宋体" w:eastAsia="宋体" w:cs="宋体"/>
              <w:b/>
              <w:bCs/>
              <w:sz w:val="28"/>
              <w:szCs w:val="28"/>
              <w:highlight w:val="none"/>
            </w:rPr>
            <w:fldChar w:fldCharType="end"/>
          </w:r>
        </w:p>
      </w:sdtContent>
    </w:sdt>
    <w:p w14:paraId="2EE431D2">
      <w:pPr>
        <w:pStyle w:val="27"/>
        <w:rPr>
          <w:rFonts w:ascii="Times New Roman" w:eastAsia="宋体"/>
          <w:sz w:val="21"/>
          <w:highlight w:val="none"/>
        </w:rPr>
      </w:pPr>
    </w:p>
    <w:p w14:paraId="467406D1">
      <w:pPr>
        <w:pStyle w:val="27"/>
        <w:rPr>
          <w:rFonts w:ascii="Times New Roman" w:eastAsia="宋体"/>
          <w:sz w:val="21"/>
          <w:highlight w:val="none"/>
        </w:rPr>
      </w:pPr>
    </w:p>
    <w:p w14:paraId="7222D85B">
      <w:pPr>
        <w:pStyle w:val="27"/>
        <w:rPr>
          <w:rFonts w:ascii="Times New Roman" w:eastAsia="宋体"/>
          <w:sz w:val="21"/>
          <w:highlight w:val="none"/>
        </w:rPr>
      </w:pPr>
    </w:p>
    <w:p w14:paraId="5A5811D9">
      <w:pPr>
        <w:pStyle w:val="27"/>
        <w:rPr>
          <w:rFonts w:ascii="Times New Roman" w:eastAsia="宋体"/>
          <w:sz w:val="21"/>
          <w:highlight w:val="none"/>
        </w:rPr>
      </w:pPr>
    </w:p>
    <w:p w14:paraId="149E7F00">
      <w:pPr>
        <w:pStyle w:val="2"/>
        <w:spacing w:line="240" w:lineRule="auto"/>
        <w:rPr>
          <w:rFonts w:asciiTheme="majorEastAsia" w:hAnsiTheme="majorEastAsia" w:eastAsiaTheme="majorEastAsia" w:cstheme="majorEastAsia"/>
          <w:sz w:val="36"/>
          <w:szCs w:val="36"/>
          <w:highlight w:val="none"/>
        </w:rPr>
        <w:sectPr>
          <w:footerReference r:id="rId3" w:type="default"/>
          <w:pgSz w:w="11907" w:h="16840"/>
          <w:pgMar w:top="1418" w:right="1418" w:bottom="1418" w:left="1440" w:header="851" w:footer="882" w:gutter="0"/>
          <w:pgNumType w:start="1"/>
          <w:cols w:space="720" w:num="1"/>
          <w:docGrid w:linePitch="303" w:charSpace="0"/>
        </w:sectPr>
      </w:pPr>
    </w:p>
    <w:p w14:paraId="77FAC1E8">
      <w:pPr>
        <w:pStyle w:val="2"/>
        <w:spacing w:line="240" w:lineRule="auto"/>
        <w:jc w:val="center"/>
        <w:rPr>
          <w:rFonts w:asciiTheme="majorEastAsia" w:hAnsiTheme="majorEastAsia" w:eastAsiaTheme="majorEastAsia" w:cstheme="majorEastAsia"/>
          <w:b/>
          <w:sz w:val="32"/>
          <w:szCs w:val="32"/>
          <w:highlight w:val="none"/>
        </w:rPr>
      </w:pPr>
      <w:bookmarkStart w:id="0" w:name="_Toc22904"/>
      <w:bookmarkStart w:id="1" w:name="_Toc24407"/>
      <w:r>
        <w:rPr>
          <w:rFonts w:hint="eastAsia" w:asciiTheme="majorEastAsia" w:hAnsiTheme="majorEastAsia" w:eastAsiaTheme="majorEastAsia" w:cstheme="majorEastAsia"/>
          <w:b/>
          <w:sz w:val="32"/>
          <w:szCs w:val="32"/>
          <w:highlight w:val="none"/>
        </w:rPr>
        <w:t>第一章  磋商公告</w:t>
      </w:r>
      <w:bookmarkEnd w:id="0"/>
      <w:bookmarkEnd w:id="1"/>
    </w:p>
    <w:p w14:paraId="099567EB">
      <w:pPr>
        <w:widowControl/>
        <w:adjustRightInd w:val="0"/>
        <w:snapToGrid w:val="0"/>
        <w:spacing w:line="560" w:lineRule="exact"/>
        <w:ind w:firstLine="480" w:firstLineChars="200"/>
        <w:rPr>
          <w:rFonts w:hint="eastAsia" w:ascii="宋体" w:hAnsi="宋体" w:eastAsia="宋体" w:cs="宋体"/>
          <w:bCs/>
          <w:kern w:val="0"/>
          <w:sz w:val="24"/>
          <w:szCs w:val="24"/>
          <w:highlight w:val="none"/>
        </w:rPr>
      </w:pPr>
      <w:bookmarkStart w:id="2" w:name="OLE_LINK2"/>
      <w:bookmarkStart w:id="3" w:name="_Toc18908"/>
      <w:bookmarkStart w:id="4" w:name="_Toc19702"/>
      <w:bookmarkStart w:id="5" w:name="_Toc448070710"/>
      <w:r>
        <w:rPr>
          <w:rFonts w:hint="eastAsia" w:ascii="宋体" w:hAnsi="宋体" w:eastAsia="宋体" w:cs="宋体"/>
          <w:bCs/>
          <w:kern w:val="0"/>
          <w:sz w:val="24"/>
          <w:szCs w:val="24"/>
          <w:highlight w:val="none"/>
        </w:rPr>
        <w:t>华采招标集团有限公司受巢湖学院委托，现对“</w:t>
      </w:r>
      <w:r>
        <w:rPr>
          <w:rFonts w:hint="eastAsia" w:ascii="宋体" w:hAnsi="宋体" w:cs="宋体"/>
          <w:bCs/>
          <w:kern w:val="0"/>
          <w:sz w:val="24"/>
          <w:szCs w:val="24"/>
          <w:highlight w:val="none"/>
          <w:lang w:eastAsia="zh-CN"/>
        </w:rPr>
        <w:t>巢湖学院优质课程资源与课程资源平台服务项目</w:t>
      </w:r>
      <w:r>
        <w:rPr>
          <w:rFonts w:hint="eastAsia" w:ascii="宋体" w:hAnsi="宋体" w:eastAsia="宋体" w:cs="宋体"/>
          <w:bCs/>
          <w:kern w:val="0"/>
          <w:sz w:val="24"/>
          <w:szCs w:val="24"/>
          <w:highlight w:val="none"/>
        </w:rPr>
        <w:t>”进行磋商，欢迎具备条件的国内投标人参加投标。</w:t>
      </w:r>
    </w:p>
    <w:p w14:paraId="6DEA4D14">
      <w:pPr>
        <w:widowControl/>
        <w:adjustRightInd w:val="0"/>
        <w:snapToGrid w:val="0"/>
        <w:spacing w:line="560" w:lineRule="exact"/>
        <w:ind w:firstLine="482" w:firstLineChars="200"/>
        <w:rPr>
          <w:rFonts w:hint="eastAsia" w:ascii="宋体" w:hAnsi="宋体" w:eastAsia="宋体" w:cs="宋体"/>
          <w:b/>
          <w:bCs/>
          <w:kern w:val="0"/>
          <w:sz w:val="24"/>
          <w:szCs w:val="24"/>
          <w:highlight w:val="none"/>
        </w:rPr>
      </w:pPr>
      <w:bookmarkStart w:id="6" w:name="_Toc28359089"/>
      <w:bookmarkStart w:id="7" w:name="_Toc35393798"/>
      <w:bookmarkStart w:id="8" w:name="_Toc35393629"/>
      <w:bookmarkStart w:id="9" w:name="_Toc28359012"/>
      <w:r>
        <w:rPr>
          <w:rFonts w:hint="eastAsia" w:ascii="宋体" w:hAnsi="宋体" w:eastAsia="宋体" w:cs="宋体"/>
          <w:b/>
          <w:bCs/>
          <w:kern w:val="0"/>
          <w:sz w:val="24"/>
          <w:szCs w:val="24"/>
          <w:highlight w:val="none"/>
        </w:rPr>
        <w:t>一、项目基本情况</w:t>
      </w:r>
      <w:bookmarkEnd w:id="6"/>
      <w:bookmarkEnd w:id="7"/>
      <w:bookmarkEnd w:id="8"/>
      <w:bookmarkEnd w:id="9"/>
    </w:p>
    <w:p w14:paraId="68D1DB6C">
      <w:pPr>
        <w:pStyle w:val="64"/>
        <w:widowControl w:val="0"/>
        <w:autoSpaceDE w:val="0"/>
        <w:autoSpaceDN w:val="0"/>
        <w:adjustRightInd w:val="0"/>
        <w:spacing w:before="0" w:after="0" w:line="560" w:lineRule="exact"/>
        <w:ind w:firstLine="643"/>
        <w:jc w:val="both"/>
        <w:rPr>
          <w:rFonts w:hint="eastAsia" w:ascii="宋体" w:hAnsi="宋体" w:eastAsia="宋体" w:cs="宋体"/>
          <w:b w:val="0"/>
          <w:bCs w:val="0"/>
          <w:sz w:val="24"/>
          <w:szCs w:val="24"/>
          <w:highlight w:val="yellow"/>
          <w:lang w:eastAsia="zh-CN"/>
        </w:rPr>
      </w:pPr>
      <w:r>
        <w:rPr>
          <w:rFonts w:hint="eastAsia" w:ascii="宋体" w:hAnsi="宋体" w:eastAsia="宋体" w:cs="宋体"/>
          <w:b w:val="0"/>
          <w:bCs w:val="0"/>
          <w:sz w:val="24"/>
          <w:szCs w:val="24"/>
          <w:highlight w:val="none"/>
        </w:rPr>
        <w:t>1、项目编号：</w:t>
      </w:r>
      <w:r>
        <w:rPr>
          <w:rFonts w:hint="eastAsia" w:ascii="宋体" w:hAnsi="宋体" w:eastAsia="宋体" w:cs="宋体"/>
          <w:b w:val="0"/>
          <w:bCs w:val="0"/>
          <w:sz w:val="24"/>
          <w:szCs w:val="24"/>
          <w:highlight w:val="none"/>
          <w:lang w:eastAsia="zh-CN"/>
        </w:rPr>
        <w:t>HCZB-2024-ZB1285</w:t>
      </w:r>
    </w:p>
    <w:p w14:paraId="0577583A">
      <w:pPr>
        <w:pStyle w:val="64"/>
        <w:widowControl w:val="0"/>
        <w:autoSpaceDE w:val="0"/>
        <w:autoSpaceDN w:val="0"/>
        <w:adjustRightInd w:val="0"/>
        <w:spacing w:before="0" w:after="0" w:line="560" w:lineRule="exact"/>
        <w:ind w:firstLine="643"/>
        <w:jc w:val="both"/>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2、项目名称：</w:t>
      </w:r>
      <w:r>
        <w:rPr>
          <w:rFonts w:hint="eastAsia" w:ascii="宋体" w:hAnsi="宋体" w:eastAsia="宋体" w:cs="宋体"/>
          <w:b w:val="0"/>
          <w:bCs w:val="0"/>
          <w:sz w:val="24"/>
          <w:szCs w:val="24"/>
          <w:highlight w:val="none"/>
          <w:lang w:eastAsia="zh-CN"/>
        </w:rPr>
        <w:t>巢湖学院优质课程资源与课程资源平台服务项目</w:t>
      </w:r>
    </w:p>
    <w:p w14:paraId="09AC79C8">
      <w:pPr>
        <w:pStyle w:val="64"/>
        <w:widowControl w:val="0"/>
        <w:autoSpaceDE w:val="0"/>
        <w:autoSpaceDN w:val="0"/>
        <w:adjustRightInd w:val="0"/>
        <w:spacing w:before="0" w:after="0" w:line="560" w:lineRule="exact"/>
        <w:ind w:firstLine="643"/>
        <w:jc w:val="both"/>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3、采购方式：</w:t>
      </w:r>
      <w:r>
        <w:rPr>
          <w:rFonts w:hint="eastAsia" w:ascii="宋体" w:hAnsi="宋体" w:eastAsia="宋体" w:cs="宋体"/>
          <w:b w:val="0"/>
          <w:bCs w:val="0"/>
          <w:sz w:val="24"/>
          <w:szCs w:val="24"/>
          <w:highlight w:val="none"/>
          <w:lang w:eastAsia="zh-CN"/>
        </w:rPr>
        <w:t>磋商</w:t>
      </w:r>
    </w:p>
    <w:p w14:paraId="7EA6A716">
      <w:pPr>
        <w:pStyle w:val="64"/>
        <w:widowControl w:val="0"/>
        <w:tabs>
          <w:tab w:val="left" w:pos="4080"/>
        </w:tabs>
        <w:autoSpaceDE w:val="0"/>
        <w:autoSpaceDN w:val="0"/>
        <w:adjustRightInd w:val="0"/>
        <w:spacing w:before="0" w:after="0" w:line="560" w:lineRule="exact"/>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4、预算金额：</w:t>
      </w:r>
      <w:r>
        <w:rPr>
          <w:rFonts w:hint="eastAsia" w:ascii="宋体" w:hAnsi="宋体" w:eastAsia="宋体" w:cs="宋体"/>
          <w:b w:val="0"/>
          <w:bCs w:val="0"/>
          <w:sz w:val="24"/>
          <w:szCs w:val="24"/>
          <w:highlight w:val="none"/>
          <w:lang w:val="en-US" w:eastAsia="zh-CN"/>
        </w:rPr>
        <w:t>45万元/年</w:t>
      </w:r>
      <w:r>
        <w:rPr>
          <w:rFonts w:hint="eastAsia" w:ascii="宋体" w:hAnsi="宋体" w:eastAsia="宋体" w:cs="宋体"/>
          <w:b w:val="0"/>
          <w:bCs w:val="0"/>
          <w:sz w:val="24"/>
          <w:szCs w:val="24"/>
          <w:highlight w:val="none"/>
        </w:rPr>
        <w:t>。</w:t>
      </w:r>
    </w:p>
    <w:p w14:paraId="5695A45A">
      <w:pPr>
        <w:pStyle w:val="64"/>
        <w:widowControl w:val="0"/>
        <w:numPr>
          <w:ilvl w:val="0"/>
          <w:numId w:val="0"/>
        </w:numPr>
        <w:tabs>
          <w:tab w:val="left" w:pos="4080"/>
        </w:tabs>
        <w:autoSpaceDE w:val="0"/>
        <w:autoSpaceDN w:val="0"/>
        <w:adjustRightInd w:val="0"/>
        <w:spacing w:before="0" w:after="0" w:line="560" w:lineRule="exact"/>
        <w:ind w:firstLine="480" w:firstLineChars="200"/>
        <w:jc w:val="both"/>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kern w:val="0"/>
          <w:sz w:val="24"/>
          <w:szCs w:val="24"/>
          <w:lang w:val="en-US" w:eastAsia="zh-CN" w:bidi="ar-SA"/>
        </w:rPr>
        <w:t>5、</w:t>
      </w:r>
      <w:r>
        <w:rPr>
          <w:rFonts w:hint="eastAsia" w:ascii="宋体" w:hAnsi="宋体" w:eastAsia="宋体" w:cs="宋体"/>
          <w:b w:val="0"/>
          <w:bCs w:val="0"/>
          <w:sz w:val="24"/>
          <w:szCs w:val="24"/>
          <w:highlight w:val="none"/>
          <w:lang w:val="en-US" w:eastAsia="zh-CN"/>
        </w:rPr>
        <w:t>最高限价：第一包25万元；第二包20万元。</w:t>
      </w:r>
    </w:p>
    <w:p w14:paraId="02F7316E">
      <w:pPr>
        <w:keepNext w:val="0"/>
        <w:keepLines w:val="0"/>
        <w:pageBreakBefore w:val="0"/>
        <w:widowControl/>
        <w:shd w:val="clear" w:color="auto" w:fill="FFFFFF"/>
        <w:kinsoku/>
        <w:wordWrap/>
        <w:overflowPunct/>
        <w:topLinePunct w:val="0"/>
        <w:autoSpaceDE/>
        <w:autoSpaceDN/>
        <w:bidi w:val="0"/>
        <w:adjustRightInd/>
        <w:snapToGrid/>
        <w:spacing w:line="500" w:lineRule="atLeast"/>
        <w:ind w:firstLine="459"/>
        <w:jc w:val="left"/>
        <w:textAlignment w:val="auto"/>
        <w:rPr>
          <w:rFonts w:hint="eastAsia" w:ascii="宋体" w:hAnsi="宋体" w:eastAsia="宋体" w:cs="宋体"/>
          <w:b w:val="0"/>
          <w:bCs w:val="0"/>
          <w:kern w:val="0"/>
          <w:sz w:val="24"/>
          <w:szCs w:val="24"/>
          <w:highlight w:val="none"/>
          <w:lang w:eastAsia="zh-CN"/>
        </w:rPr>
      </w:pP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eastAsia="zh-CN"/>
        </w:rPr>
        <w:t>项目概况</w:t>
      </w:r>
      <w:r>
        <w:rPr>
          <w:rFonts w:hint="eastAsia" w:ascii="宋体" w:hAnsi="宋体" w:eastAsia="宋体" w:cs="宋体"/>
          <w:b w:val="0"/>
          <w:bCs w:val="0"/>
          <w:sz w:val="24"/>
          <w:szCs w:val="24"/>
          <w:highlight w:val="none"/>
        </w:rPr>
        <w:t>：巢湖学院优质课程资源与课程资源平台服务项目。（详情见采购需求）</w:t>
      </w:r>
    </w:p>
    <w:p w14:paraId="0331EF82">
      <w:pPr>
        <w:pStyle w:val="64"/>
        <w:widowControl w:val="0"/>
        <w:autoSpaceDE w:val="0"/>
        <w:autoSpaceDN w:val="0"/>
        <w:adjustRightInd w:val="0"/>
        <w:spacing w:before="0" w:after="0" w:line="560" w:lineRule="exact"/>
        <w:ind w:left="0" w:leftChars="0" w:firstLine="480" w:firstLineChars="200"/>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7、服务期限：本期自合同签订之日起至2024年12月31日，服务期间不限制使用课程门数和使用人次。</w:t>
      </w:r>
      <w:r>
        <w:rPr>
          <w:rFonts w:hint="eastAsia" w:ascii="宋体" w:hAnsi="宋体" w:eastAsia="宋体" w:cs="宋体"/>
          <w:b w:val="0"/>
          <w:bCs w:val="0"/>
          <w:sz w:val="24"/>
          <w:szCs w:val="24"/>
          <w:highlight w:val="none"/>
          <w:lang w:eastAsia="zh-CN"/>
        </w:rPr>
        <w:t>合同签订后，按照“壹年+壹年+壹年”模式，经采购人年度考核合格后，分期续签合同（累计最长不超过三年）</w:t>
      </w:r>
      <w:r>
        <w:rPr>
          <w:rFonts w:hint="eastAsia" w:ascii="宋体" w:hAnsi="宋体" w:eastAsia="宋体" w:cs="宋体"/>
          <w:b w:val="0"/>
          <w:bCs w:val="0"/>
          <w:sz w:val="24"/>
          <w:szCs w:val="24"/>
          <w:highlight w:val="none"/>
          <w:lang w:val="en-US" w:eastAsia="zh-CN"/>
        </w:rPr>
        <w:t>。</w:t>
      </w:r>
    </w:p>
    <w:p w14:paraId="36CA16CD">
      <w:pPr>
        <w:pStyle w:val="64"/>
        <w:widowControl w:val="0"/>
        <w:autoSpaceDE w:val="0"/>
        <w:autoSpaceDN w:val="0"/>
        <w:adjustRightInd w:val="0"/>
        <w:spacing w:before="0" w:after="0" w:line="560" w:lineRule="exact"/>
        <w:ind w:left="0" w:leftChars="0" w:firstLine="480" w:firstLineChars="200"/>
        <w:jc w:val="both"/>
        <w:rPr>
          <w:rFonts w:hint="default" w:ascii="宋体" w:hAnsi="宋体" w:eastAsia="宋体" w:cs="宋体"/>
          <w:b w:val="0"/>
          <w:bCs w:val="0"/>
          <w:sz w:val="24"/>
          <w:szCs w:val="24"/>
          <w:highlight w:val="none"/>
          <w:lang w:val="en-US" w:eastAsia="zh-CN"/>
        </w:rPr>
      </w:pPr>
      <w:bookmarkStart w:id="10" w:name="_Toc28359013"/>
      <w:bookmarkStart w:id="11" w:name="_Toc28359090"/>
      <w:bookmarkStart w:id="12" w:name="_Toc35393630"/>
      <w:bookmarkStart w:id="13" w:name="_Toc35393799"/>
      <w:r>
        <w:rPr>
          <w:rFonts w:hint="eastAsia" w:ascii="宋体" w:hAnsi="宋体" w:eastAsia="宋体" w:cs="宋体"/>
          <w:b w:val="0"/>
          <w:bCs w:val="0"/>
          <w:sz w:val="24"/>
          <w:szCs w:val="24"/>
          <w:highlight w:val="none"/>
          <w:lang w:val="en-US" w:eastAsia="zh-CN"/>
        </w:rPr>
        <w:t>8、免费质保期：验收合格之日起三年。</w:t>
      </w:r>
    </w:p>
    <w:p w14:paraId="3B9DC192">
      <w:pPr>
        <w:pStyle w:val="64"/>
        <w:widowControl w:val="0"/>
        <w:autoSpaceDE w:val="0"/>
        <w:autoSpaceDN w:val="0"/>
        <w:adjustRightInd w:val="0"/>
        <w:spacing w:before="0" w:after="0" w:line="560" w:lineRule="exact"/>
        <w:ind w:left="0" w:leftChars="0" w:firstLine="480" w:firstLineChars="200"/>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9、包别划分：第一包：优质课程资源 25万元；</w:t>
      </w:r>
    </w:p>
    <w:p w14:paraId="11C4A4D7">
      <w:pPr>
        <w:widowControl/>
        <w:shd w:val="clear" w:color="auto" w:fill="FFFFFF"/>
        <w:spacing w:line="540" w:lineRule="atLeast"/>
        <w:ind w:left="0" w:leftChars="0" w:firstLine="2040" w:firstLineChars="85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第二包：课程资源平台服务 20万元。</w:t>
      </w:r>
    </w:p>
    <w:p w14:paraId="2548425A">
      <w:pPr>
        <w:widowControl/>
        <w:shd w:val="clear" w:color="auto" w:fill="FFFFFF"/>
        <w:spacing w:line="540" w:lineRule="atLeast"/>
        <w:ind w:firstLine="462" w:firstLineChars="200"/>
        <w:jc w:val="left"/>
        <w:rPr>
          <w:rFonts w:hint="default" w:ascii="宋体" w:hAnsi="宋体" w:eastAsia="宋体" w:cs="宋体"/>
          <w:b w:val="0"/>
          <w:bCs w:val="0"/>
          <w:sz w:val="24"/>
          <w:szCs w:val="24"/>
          <w:highlight w:val="none"/>
          <w:lang w:val="en-US" w:eastAsia="zh-CN"/>
        </w:rPr>
      </w:pPr>
      <w:r>
        <w:rPr>
          <w:rFonts w:hint="eastAsia" w:ascii="宋体" w:hAnsi="宋体"/>
          <w:b/>
          <w:bCs/>
          <w:color w:val="FF0000"/>
          <w:kern w:val="0"/>
          <w:sz w:val="23"/>
          <w:szCs w:val="23"/>
          <w:highlight w:val="none"/>
        </w:rPr>
        <w:t>注：供应商可同时参加两个包的投标，同时成为两个包的成交供应商，但需分包制作响应文件。</w:t>
      </w:r>
    </w:p>
    <w:p w14:paraId="589BBF6D">
      <w:pPr>
        <w:widowControl/>
        <w:adjustRightInd w:val="0"/>
        <w:snapToGrid w:val="0"/>
        <w:spacing w:line="56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二、申请人的资格要求</w:t>
      </w:r>
      <w:bookmarkEnd w:id="10"/>
      <w:bookmarkEnd w:id="11"/>
      <w:bookmarkEnd w:id="12"/>
      <w:bookmarkEnd w:id="13"/>
    </w:p>
    <w:p w14:paraId="7616904E">
      <w:pPr>
        <w:pStyle w:val="64"/>
        <w:widowControl w:val="0"/>
        <w:autoSpaceDE w:val="0"/>
        <w:autoSpaceDN w:val="0"/>
        <w:adjustRightInd w:val="0"/>
        <w:spacing w:before="0" w:after="0" w:line="560" w:lineRule="exact"/>
        <w:ind w:firstLine="640"/>
        <w:jc w:val="both"/>
        <w:rPr>
          <w:rFonts w:hint="eastAsia" w:ascii="宋体" w:hAnsi="宋体" w:eastAsia="宋体" w:cs="宋体"/>
          <w:sz w:val="24"/>
          <w:szCs w:val="24"/>
          <w:highlight w:val="none"/>
        </w:rPr>
      </w:pPr>
      <w:bookmarkStart w:id="14" w:name="_Toc28359014"/>
      <w:bookmarkStart w:id="15" w:name="_Toc28359091"/>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供应商须具有独立法人资格，提供有效的营业执照、税务登记证、组织机构代码证（三证合一的仅提供相应的营业执照）</w:t>
      </w:r>
      <w:r>
        <w:rPr>
          <w:rFonts w:hint="eastAsia" w:ascii="宋体" w:hAnsi="宋体" w:eastAsia="宋体" w:cs="宋体"/>
          <w:sz w:val="24"/>
          <w:szCs w:val="24"/>
          <w:highlight w:val="none"/>
        </w:rPr>
        <w:t>；</w:t>
      </w:r>
    </w:p>
    <w:p w14:paraId="3EE42B08">
      <w:pPr>
        <w:pStyle w:val="64"/>
        <w:widowControl w:val="0"/>
        <w:autoSpaceDE w:val="0"/>
        <w:autoSpaceDN w:val="0"/>
        <w:adjustRightInd w:val="0"/>
        <w:spacing w:before="0" w:after="0" w:line="560" w:lineRule="exact"/>
        <w:ind w:firstLine="64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供应商存在以下不良信用记录情形之一的，不得推荐为成交候选供应商，不得确定</w:t>
      </w:r>
      <w:r>
        <w:rPr>
          <w:rFonts w:hint="eastAsia" w:ascii="宋体" w:hAnsi="宋体" w:eastAsia="宋体" w:cs="宋体"/>
          <w:sz w:val="24"/>
          <w:szCs w:val="24"/>
          <w:highlight w:val="none"/>
          <w:lang w:val="en-US" w:eastAsia="zh-CN"/>
        </w:rPr>
        <w:t>为成交供应商：</w:t>
      </w:r>
    </w:p>
    <w:p w14:paraId="4CDDF3B2">
      <w:pPr>
        <w:pStyle w:val="64"/>
        <w:widowControl w:val="0"/>
        <w:autoSpaceDE w:val="0"/>
        <w:autoSpaceDN w:val="0"/>
        <w:adjustRightInd w:val="0"/>
        <w:spacing w:before="0" w:after="0" w:line="560" w:lineRule="exact"/>
        <w:ind w:firstLine="64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（1）供应商被人民法院列入失信被执行人的；</w:t>
      </w:r>
    </w:p>
    <w:p w14:paraId="04843D08">
      <w:pPr>
        <w:pStyle w:val="64"/>
        <w:widowControl w:val="0"/>
        <w:autoSpaceDE w:val="0"/>
        <w:autoSpaceDN w:val="0"/>
        <w:adjustRightInd w:val="0"/>
        <w:spacing w:before="0" w:after="0" w:line="560" w:lineRule="exact"/>
        <w:ind w:firstLine="64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（2）供应商被工商行政管理部门列入企业经营异常名录的；</w:t>
      </w:r>
    </w:p>
    <w:p w14:paraId="13E7D488">
      <w:pPr>
        <w:pStyle w:val="64"/>
        <w:widowControl w:val="0"/>
        <w:autoSpaceDE w:val="0"/>
        <w:autoSpaceDN w:val="0"/>
        <w:adjustRightInd w:val="0"/>
        <w:spacing w:before="0" w:after="0" w:line="560" w:lineRule="exact"/>
        <w:ind w:firstLine="64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（3）供应商被税务部门列入重大税收违法失信主体的；</w:t>
      </w:r>
    </w:p>
    <w:p w14:paraId="1D2A0EB2">
      <w:pPr>
        <w:pStyle w:val="64"/>
        <w:widowControl w:val="0"/>
        <w:autoSpaceDE w:val="0"/>
        <w:autoSpaceDN w:val="0"/>
        <w:adjustRightInd w:val="0"/>
        <w:spacing w:before="0" w:after="0" w:line="560" w:lineRule="exact"/>
        <w:ind w:firstLine="64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（4）供应商近五年内被国家工信部或国家网信办或安徽省政府采购网通报涉及在线学习违法违规行为或投标违规行为记录的；</w:t>
      </w:r>
    </w:p>
    <w:p w14:paraId="78A0FB6F">
      <w:pPr>
        <w:pStyle w:val="64"/>
        <w:widowControl w:val="0"/>
        <w:autoSpaceDE w:val="0"/>
        <w:autoSpaceDN w:val="0"/>
        <w:adjustRightInd w:val="0"/>
        <w:spacing w:before="0" w:after="0" w:line="560" w:lineRule="exact"/>
        <w:ind w:left="0" w:leftChars="0"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、本项目不接受联合体。</w:t>
      </w:r>
    </w:p>
    <w:p w14:paraId="793BAB40">
      <w:pPr>
        <w:widowControl/>
        <w:adjustRightInd w:val="0"/>
        <w:snapToGrid w:val="0"/>
        <w:spacing w:line="560" w:lineRule="exact"/>
        <w:ind w:firstLine="482" w:firstLineChars="200"/>
        <w:rPr>
          <w:rFonts w:hint="eastAsia" w:ascii="宋体" w:hAnsi="宋体" w:eastAsia="宋体" w:cs="宋体"/>
          <w:b/>
          <w:bCs/>
          <w:kern w:val="0"/>
          <w:sz w:val="24"/>
          <w:szCs w:val="24"/>
          <w:highlight w:val="none"/>
        </w:rPr>
      </w:pPr>
      <w:bookmarkStart w:id="16" w:name="_Toc35393631"/>
      <w:bookmarkStart w:id="17" w:name="_Toc35393800"/>
      <w:r>
        <w:rPr>
          <w:rFonts w:hint="eastAsia" w:ascii="宋体" w:hAnsi="宋体" w:eastAsia="宋体" w:cs="宋体"/>
          <w:b/>
          <w:bCs/>
          <w:kern w:val="0"/>
          <w:sz w:val="24"/>
          <w:szCs w:val="24"/>
          <w:highlight w:val="none"/>
        </w:rPr>
        <w:t>三、获取采购文件</w:t>
      </w:r>
      <w:bookmarkEnd w:id="14"/>
      <w:bookmarkEnd w:id="15"/>
      <w:bookmarkEnd w:id="16"/>
      <w:bookmarkEnd w:id="17"/>
    </w:p>
    <w:p w14:paraId="0631755C">
      <w:pPr>
        <w:pStyle w:val="64"/>
        <w:widowControl w:val="0"/>
        <w:autoSpaceDE w:val="0"/>
        <w:autoSpaceDN w:val="0"/>
        <w:adjustRightInd w:val="0"/>
        <w:spacing w:before="0" w:after="0" w:line="560" w:lineRule="exact"/>
        <w:ind w:firstLine="643"/>
        <w:jc w:val="both"/>
        <w:rPr>
          <w:rFonts w:hint="eastAsia" w:ascii="宋体" w:hAnsi="宋体" w:eastAsia="宋体" w:cs="宋体"/>
          <w:sz w:val="24"/>
          <w:szCs w:val="24"/>
          <w:highlight w:val="none"/>
          <w:lang w:eastAsia="zh-CN"/>
        </w:rPr>
      </w:pPr>
      <w:bookmarkStart w:id="18" w:name="_Toc28359015"/>
      <w:bookmarkStart w:id="19" w:name="_Toc28359092"/>
      <w:bookmarkStart w:id="20" w:name="_Toc35393801"/>
      <w:bookmarkStart w:id="21" w:name="_Toc35393632"/>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eastAsia="zh-CN"/>
        </w:rPr>
        <w:t>获取</w:t>
      </w:r>
      <w:r>
        <w:rPr>
          <w:rFonts w:hint="eastAsia" w:ascii="宋体" w:hAnsi="宋体" w:eastAsia="宋体" w:cs="宋体"/>
          <w:b/>
          <w:bCs/>
          <w:sz w:val="24"/>
          <w:szCs w:val="24"/>
          <w:highlight w:val="none"/>
        </w:rPr>
        <w:t>时间：</w:t>
      </w:r>
      <w:r>
        <w:rPr>
          <w:rFonts w:hint="eastAsia" w:ascii="宋体" w:hAnsi="宋体" w:eastAsia="宋体" w:cs="宋体"/>
          <w:sz w:val="24"/>
          <w:szCs w:val="24"/>
          <w:highlight w:val="none"/>
        </w:rPr>
        <w:t>本公告发布之日起至202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8月22日17:00</w:t>
      </w:r>
      <w:r>
        <w:rPr>
          <w:rFonts w:hint="eastAsia" w:ascii="宋体" w:hAnsi="宋体" w:eastAsia="宋体" w:cs="宋体"/>
          <w:sz w:val="24"/>
          <w:szCs w:val="24"/>
          <w:highlight w:val="none"/>
        </w:rPr>
        <w:t>前</w:t>
      </w:r>
      <w:r>
        <w:rPr>
          <w:rFonts w:hint="eastAsia" w:ascii="宋体" w:hAnsi="宋体" w:eastAsia="宋体" w:cs="宋体"/>
          <w:sz w:val="24"/>
          <w:szCs w:val="24"/>
          <w:highlight w:val="none"/>
          <w:lang w:eastAsia="zh-CN"/>
        </w:rPr>
        <w:t>。</w:t>
      </w:r>
    </w:p>
    <w:p w14:paraId="05D6382B">
      <w:pPr>
        <w:pStyle w:val="64"/>
        <w:widowControl w:val="0"/>
        <w:autoSpaceDE w:val="0"/>
        <w:autoSpaceDN w:val="0"/>
        <w:adjustRightInd w:val="0"/>
        <w:spacing w:before="0" w:after="0" w:line="560" w:lineRule="exact"/>
        <w:ind w:firstLine="643"/>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eastAsia="zh-CN"/>
        </w:rPr>
        <w:t>获取地点</w:t>
      </w:r>
      <w:r>
        <w:rPr>
          <w:rFonts w:hint="eastAsia" w:ascii="宋体" w:hAnsi="宋体" w:eastAsia="宋体" w:cs="宋体"/>
          <w:b/>
          <w:bCs/>
          <w:sz w:val="24"/>
          <w:szCs w:val="24"/>
          <w:highlight w:val="none"/>
        </w:rPr>
        <w:t>：</w:t>
      </w:r>
      <w:r>
        <w:rPr>
          <w:rFonts w:hint="eastAsia" w:ascii="宋体" w:hAnsi="宋体" w:eastAsia="宋体" w:cs="宋体"/>
          <w:b w:val="0"/>
          <w:bCs w:val="0"/>
          <w:sz w:val="24"/>
          <w:szCs w:val="24"/>
          <w:highlight w:val="none"/>
        </w:rPr>
        <w:t>华采招标集团有限公司网站（http://www.bjhczb.com/）</w:t>
      </w:r>
      <w:r>
        <w:rPr>
          <w:rFonts w:hint="eastAsia" w:ascii="宋体" w:hAnsi="宋体" w:eastAsia="宋体" w:cs="宋体"/>
          <w:b w:val="0"/>
          <w:bCs w:val="0"/>
          <w:sz w:val="24"/>
          <w:szCs w:val="24"/>
          <w:highlight w:val="none"/>
          <w:lang w:eastAsia="zh-CN"/>
        </w:rPr>
        <w:t>。</w:t>
      </w:r>
    </w:p>
    <w:p w14:paraId="0D7E97AB">
      <w:pPr>
        <w:pStyle w:val="64"/>
        <w:widowControl w:val="0"/>
        <w:autoSpaceDE w:val="0"/>
        <w:autoSpaceDN w:val="0"/>
        <w:adjustRightInd w:val="0"/>
        <w:spacing w:before="0" w:after="0" w:line="560" w:lineRule="exact"/>
        <w:ind w:firstLine="643"/>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lang w:eastAsia="zh-CN"/>
        </w:rPr>
        <w:t>获取</w:t>
      </w:r>
      <w:r>
        <w:rPr>
          <w:rFonts w:hint="eastAsia" w:ascii="宋体" w:hAnsi="宋体" w:eastAsia="宋体" w:cs="宋体"/>
          <w:b/>
          <w:bCs/>
          <w:sz w:val="24"/>
          <w:szCs w:val="24"/>
          <w:highlight w:val="none"/>
        </w:rPr>
        <w:t>方式：</w:t>
      </w:r>
    </w:p>
    <w:p w14:paraId="119688E0">
      <w:pPr>
        <w:pStyle w:val="64"/>
        <w:keepNext w:val="0"/>
        <w:keepLines w:val="0"/>
        <w:pageBreakBefore w:val="0"/>
        <w:widowControl w:val="0"/>
        <w:kinsoku/>
        <w:wordWrap/>
        <w:overflowPunct/>
        <w:topLinePunct w:val="0"/>
        <w:autoSpaceDE w:val="0"/>
        <w:autoSpaceDN w:val="0"/>
        <w:bidi w:val="0"/>
        <w:adjustRightInd w:val="0"/>
        <w:spacing w:before="0" w:after="0" w:line="480" w:lineRule="exact"/>
        <w:ind w:firstLine="64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凡有意参加的供应商，请于本公告发布之日起至202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08月22</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"mailto:日17时00分前将以下报名资料发送到指定邮箱（752461980@qq.com）"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时00分前登录华采招标集团有限公司网站-投标人登录专区下载文件</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eastAsia="zh-CN"/>
        </w:rPr>
        <w:t>。</w:t>
      </w:r>
    </w:p>
    <w:p w14:paraId="390E57EA">
      <w:pPr>
        <w:pStyle w:val="64"/>
        <w:widowControl w:val="0"/>
        <w:autoSpaceDE w:val="0"/>
        <w:autoSpaceDN w:val="0"/>
        <w:adjustRightInd w:val="0"/>
        <w:spacing w:before="0" w:after="0" w:line="560" w:lineRule="exact"/>
        <w:ind w:firstLine="643"/>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售价</w:t>
      </w:r>
      <w:r>
        <w:rPr>
          <w:rFonts w:hint="eastAsia" w:ascii="宋体" w:hAnsi="宋体" w:eastAsia="宋体" w:cs="宋体"/>
          <w:b/>
          <w:bCs/>
          <w:sz w:val="24"/>
          <w:szCs w:val="24"/>
          <w:highlight w:val="none"/>
        </w:rPr>
        <w:t>：</w:t>
      </w:r>
      <w:r>
        <w:rPr>
          <w:rFonts w:hint="eastAsia" w:ascii="宋体" w:hAnsi="宋体" w:eastAsia="宋体" w:cs="宋体"/>
          <w:b w:val="0"/>
          <w:bCs w:val="0"/>
          <w:sz w:val="24"/>
          <w:szCs w:val="24"/>
          <w:highlight w:val="none"/>
          <w:lang w:eastAsia="zh-CN"/>
        </w:rPr>
        <w:t>免费。</w:t>
      </w:r>
    </w:p>
    <w:p w14:paraId="765F5E28">
      <w:pPr>
        <w:keepNext w:val="0"/>
        <w:keepLines w:val="0"/>
        <w:pageBreakBefore w:val="0"/>
        <w:widowControl/>
        <w:kinsoku/>
        <w:wordWrap/>
        <w:overflowPunct/>
        <w:topLinePunct w:val="0"/>
        <w:bidi w:val="0"/>
        <w:adjustRightInd w:val="0"/>
        <w:snapToGrid w:val="0"/>
        <w:spacing w:line="480" w:lineRule="exact"/>
        <w:ind w:firstLine="482" w:firstLineChars="20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四、响应文件提交</w:t>
      </w:r>
      <w:bookmarkEnd w:id="18"/>
      <w:bookmarkEnd w:id="19"/>
      <w:bookmarkEnd w:id="20"/>
      <w:bookmarkEnd w:id="21"/>
    </w:p>
    <w:p w14:paraId="3D81BF8F">
      <w:pPr>
        <w:pStyle w:val="64"/>
        <w:keepNext w:val="0"/>
        <w:keepLines w:val="0"/>
        <w:pageBreakBefore w:val="0"/>
        <w:widowControl w:val="0"/>
        <w:kinsoku/>
        <w:wordWrap/>
        <w:overflowPunct/>
        <w:topLinePunct w:val="0"/>
        <w:autoSpaceDE w:val="0"/>
        <w:autoSpaceDN w:val="0"/>
        <w:bidi w:val="0"/>
        <w:adjustRightInd w:val="0"/>
        <w:spacing w:before="0" w:after="0" w:line="480" w:lineRule="exact"/>
        <w:ind w:firstLine="643"/>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提交</w:t>
      </w:r>
      <w:r>
        <w:rPr>
          <w:rFonts w:hint="eastAsia" w:ascii="宋体" w:hAnsi="宋体" w:eastAsia="宋体" w:cs="宋体"/>
          <w:b/>
          <w:bCs/>
          <w:sz w:val="24"/>
          <w:szCs w:val="24"/>
          <w:highlight w:val="none"/>
          <w:lang w:eastAsia="zh-CN"/>
        </w:rPr>
        <w:t>截止</w:t>
      </w:r>
      <w:r>
        <w:rPr>
          <w:rFonts w:hint="eastAsia" w:ascii="宋体" w:hAnsi="宋体" w:eastAsia="宋体" w:cs="宋体"/>
          <w:b/>
          <w:bCs/>
          <w:sz w:val="24"/>
          <w:szCs w:val="24"/>
          <w:highlight w:val="none"/>
        </w:rPr>
        <w:t>时间：</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年0</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lang w:eastAsia="zh-CN"/>
        </w:rPr>
        <w:t>日1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点</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0分</w:t>
      </w:r>
      <w:r>
        <w:rPr>
          <w:rFonts w:hint="eastAsia" w:ascii="宋体" w:hAnsi="宋体" w:eastAsia="宋体" w:cs="宋体"/>
          <w:sz w:val="24"/>
          <w:szCs w:val="24"/>
          <w:highlight w:val="none"/>
        </w:rPr>
        <w:t>（北京时间）</w:t>
      </w:r>
    </w:p>
    <w:p w14:paraId="76340D1B">
      <w:pPr>
        <w:pStyle w:val="64"/>
        <w:keepNext w:val="0"/>
        <w:keepLines w:val="0"/>
        <w:pageBreakBefore w:val="0"/>
        <w:widowControl w:val="0"/>
        <w:kinsoku/>
        <w:wordWrap/>
        <w:overflowPunct/>
        <w:topLinePunct w:val="0"/>
        <w:autoSpaceDE w:val="0"/>
        <w:autoSpaceDN w:val="0"/>
        <w:bidi w:val="0"/>
        <w:adjustRightInd w:val="0"/>
        <w:spacing w:before="0" w:after="0" w:line="480" w:lineRule="exact"/>
        <w:ind w:firstLine="643"/>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bCs/>
          <w:sz w:val="24"/>
          <w:szCs w:val="24"/>
          <w:highlight w:val="none"/>
          <w:lang w:eastAsia="zh-CN"/>
        </w:rPr>
        <w:t>提交</w:t>
      </w:r>
      <w:r>
        <w:rPr>
          <w:rFonts w:hint="eastAsia" w:ascii="宋体" w:hAnsi="宋体" w:eastAsia="宋体" w:cs="宋体"/>
          <w:b/>
          <w:bCs/>
          <w:sz w:val="24"/>
          <w:szCs w:val="24"/>
          <w:highlight w:val="none"/>
        </w:rPr>
        <w:t>地点：</w:t>
      </w:r>
      <w:r>
        <w:rPr>
          <w:rFonts w:hint="eastAsia" w:ascii="宋体" w:hAnsi="宋体" w:eastAsia="宋体" w:cs="宋体"/>
          <w:b w:val="0"/>
          <w:bCs w:val="0"/>
          <w:sz w:val="24"/>
          <w:szCs w:val="24"/>
          <w:highlight w:val="none"/>
        </w:rPr>
        <w:t>登录华采招标集团有限公司网站-投标人专区（http://www.bjhczb.com/）</w:t>
      </w:r>
      <w:r>
        <w:rPr>
          <w:rFonts w:hint="eastAsia" w:ascii="宋体" w:hAnsi="宋体" w:eastAsia="宋体" w:cs="宋体"/>
          <w:b w:val="0"/>
          <w:bCs w:val="0"/>
          <w:sz w:val="24"/>
          <w:szCs w:val="24"/>
          <w:highlight w:val="none"/>
          <w:lang w:eastAsia="zh-CN"/>
        </w:rPr>
        <w:t>。</w:t>
      </w:r>
    </w:p>
    <w:p w14:paraId="68C5C789">
      <w:pPr>
        <w:keepNext w:val="0"/>
        <w:keepLines w:val="0"/>
        <w:pageBreakBefore w:val="0"/>
        <w:widowControl/>
        <w:kinsoku/>
        <w:wordWrap/>
        <w:overflowPunct/>
        <w:topLinePunct w:val="0"/>
        <w:bidi w:val="0"/>
        <w:adjustRightInd w:val="0"/>
        <w:snapToGrid w:val="0"/>
        <w:spacing w:line="480" w:lineRule="exact"/>
        <w:ind w:firstLine="482" w:firstLineChars="200"/>
        <w:textAlignment w:val="auto"/>
        <w:rPr>
          <w:rFonts w:hint="eastAsia" w:ascii="宋体" w:hAnsi="宋体" w:eastAsia="宋体" w:cs="宋体"/>
          <w:b/>
          <w:bCs/>
          <w:sz w:val="24"/>
          <w:szCs w:val="24"/>
          <w:highlight w:val="none"/>
        </w:rPr>
      </w:pPr>
      <w:bookmarkStart w:id="22" w:name="_Toc28359093"/>
      <w:bookmarkStart w:id="23" w:name="_Toc35393802"/>
      <w:bookmarkStart w:id="24" w:name="_Toc28359016"/>
      <w:bookmarkStart w:id="25" w:name="_Toc35393633"/>
      <w:r>
        <w:rPr>
          <w:rFonts w:hint="eastAsia" w:ascii="宋体" w:hAnsi="宋体" w:eastAsia="宋体" w:cs="宋体"/>
          <w:b/>
          <w:bCs/>
          <w:kern w:val="0"/>
          <w:sz w:val="24"/>
          <w:szCs w:val="24"/>
          <w:highlight w:val="none"/>
        </w:rPr>
        <w:t>五、</w:t>
      </w:r>
      <w:bookmarkEnd w:id="22"/>
      <w:bookmarkEnd w:id="23"/>
      <w:bookmarkEnd w:id="24"/>
      <w:bookmarkEnd w:id="25"/>
      <w:r>
        <w:rPr>
          <w:rFonts w:hint="eastAsia" w:ascii="宋体" w:hAnsi="宋体" w:eastAsia="宋体" w:cs="宋体"/>
          <w:b/>
          <w:bCs/>
          <w:sz w:val="24"/>
          <w:szCs w:val="24"/>
          <w:highlight w:val="none"/>
        </w:rPr>
        <w:t>其他补充事宜</w:t>
      </w:r>
    </w:p>
    <w:p w14:paraId="5810556C">
      <w:pPr>
        <w:pStyle w:val="64"/>
        <w:keepNext w:val="0"/>
        <w:keepLines w:val="0"/>
        <w:pageBreakBefore w:val="0"/>
        <w:widowControl w:val="0"/>
        <w:kinsoku/>
        <w:wordWrap/>
        <w:overflowPunct/>
        <w:topLinePunct w:val="0"/>
        <w:autoSpaceDE w:val="0"/>
        <w:autoSpaceDN w:val="0"/>
        <w:bidi w:val="0"/>
        <w:adjustRightInd w:val="0"/>
        <w:spacing w:before="0" w:after="0" w:line="480" w:lineRule="exact"/>
        <w:ind w:firstLine="643"/>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1.对本项目有任何疑问或问题，请在工作时间（周一至周五，上午9:00-12:00，下午14:00-17:00，节假日休息）与</w:t>
      </w:r>
      <w:r>
        <w:rPr>
          <w:rFonts w:hint="eastAsia" w:ascii="宋体" w:hAnsi="宋体" w:eastAsia="宋体" w:cs="宋体"/>
          <w:b w:val="0"/>
          <w:bCs w:val="0"/>
          <w:sz w:val="24"/>
          <w:szCs w:val="24"/>
          <w:highlight w:val="none"/>
          <w:lang w:eastAsia="zh-CN"/>
        </w:rPr>
        <w:t>代理机构</w:t>
      </w:r>
      <w:r>
        <w:rPr>
          <w:rFonts w:hint="eastAsia" w:ascii="宋体" w:hAnsi="宋体" w:eastAsia="宋体" w:cs="宋体"/>
          <w:b w:val="0"/>
          <w:bCs w:val="0"/>
          <w:sz w:val="24"/>
          <w:szCs w:val="24"/>
          <w:highlight w:val="none"/>
        </w:rPr>
        <w:t>联系。</w:t>
      </w:r>
    </w:p>
    <w:p w14:paraId="79DCCEAB">
      <w:pPr>
        <w:pStyle w:val="64"/>
        <w:keepNext w:val="0"/>
        <w:keepLines w:val="0"/>
        <w:pageBreakBefore w:val="0"/>
        <w:widowControl w:val="0"/>
        <w:kinsoku/>
        <w:wordWrap/>
        <w:overflowPunct/>
        <w:topLinePunct w:val="0"/>
        <w:autoSpaceDE w:val="0"/>
        <w:autoSpaceDN w:val="0"/>
        <w:bidi w:val="0"/>
        <w:adjustRightInd w:val="0"/>
        <w:spacing w:before="0" w:after="0" w:line="480" w:lineRule="exact"/>
        <w:ind w:firstLine="643"/>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2.本公告在</w:t>
      </w:r>
      <w:r>
        <w:rPr>
          <w:rFonts w:hint="eastAsia" w:ascii="宋体" w:hAnsi="宋体" w:eastAsia="宋体" w:cs="宋体"/>
          <w:b w:val="0"/>
          <w:bCs w:val="0"/>
          <w:sz w:val="24"/>
          <w:szCs w:val="24"/>
          <w:highlight w:val="none"/>
          <w:lang w:eastAsia="zh-CN"/>
        </w:rPr>
        <w:t>巢湖学院官网（https://www.chu.edu.cn/）</w:t>
      </w:r>
      <w:r>
        <w:rPr>
          <w:rFonts w:hint="eastAsia" w:ascii="宋体" w:hAnsi="宋体" w:eastAsia="宋体" w:cs="宋体"/>
          <w:b w:val="0"/>
          <w:bCs w:val="0"/>
          <w:sz w:val="24"/>
          <w:szCs w:val="24"/>
          <w:highlight w:val="none"/>
        </w:rPr>
        <w:t>、安徽省招标投标信息网（http://www.ahtba.org.cn/）、华采招标集团有限公司网站（http://www.bjhczb.com/）等网站发布。</w:t>
      </w:r>
    </w:p>
    <w:p w14:paraId="6D1E41C8">
      <w:pPr>
        <w:pStyle w:val="64"/>
        <w:keepNext w:val="0"/>
        <w:keepLines w:val="0"/>
        <w:pageBreakBefore w:val="0"/>
        <w:widowControl w:val="0"/>
        <w:kinsoku/>
        <w:wordWrap/>
        <w:overflowPunct/>
        <w:topLinePunct w:val="0"/>
        <w:autoSpaceDE w:val="0"/>
        <w:autoSpaceDN w:val="0"/>
        <w:bidi w:val="0"/>
        <w:adjustRightInd w:val="0"/>
        <w:spacing w:before="0" w:after="0" w:line="480" w:lineRule="exact"/>
        <w:ind w:firstLine="643"/>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3.凡有意参加的投标人，请务必于获取文件截止时间前登录平台完成下载操作，否则将无法保证获取电子招标文件。首次登录，需在平台免费注册，注册成功后完善投标人资料并绑定CA。</w:t>
      </w:r>
    </w:p>
    <w:p w14:paraId="238F14D4">
      <w:pPr>
        <w:pStyle w:val="64"/>
        <w:keepNext w:val="0"/>
        <w:keepLines w:val="0"/>
        <w:pageBreakBefore w:val="0"/>
        <w:widowControl w:val="0"/>
        <w:kinsoku/>
        <w:wordWrap/>
        <w:overflowPunct/>
        <w:topLinePunct w:val="0"/>
        <w:autoSpaceDE w:val="0"/>
        <w:autoSpaceDN w:val="0"/>
        <w:bidi w:val="0"/>
        <w:adjustRightInd w:val="0"/>
        <w:spacing w:before="0" w:after="0" w:line="480" w:lineRule="exact"/>
        <w:ind w:firstLine="643"/>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4.凡有意参加的投标人，首次登录需前往华采招标集团有限公司电子招投标平台免费注册，注册完成后绑定CA数字证书。平台咨询电话：010-86397110，服务时间为工作日9:00-12:00，13:30-17:00。</w:t>
      </w:r>
    </w:p>
    <w:p w14:paraId="134478F8">
      <w:pPr>
        <w:pStyle w:val="64"/>
        <w:keepNext w:val="0"/>
        <w:keepLines w:val="0"/>
        <w:pageBreakBefore w:val="0"/>
        <w:widowControl w:val="0"/>
        <w:kinsoku/>
        <w:wordWrap/>
        <w:overflowPunct/>
        <w:topLinePunct w:val="0"/>
        <w:autoSpaceDE w:val="0"/>
        <w:autoSpaceDN w:val="0"/>
        <w:bidi w:val="0"/>
        <w:adjustRightInd w:val="0"/>
        <w:spacing w:before="0" w:after="0" w:line="480" w:lineRule="exact"/>
        <w:ind w:firstLine="643"/>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有意向参与本项目的投标人，应在递交文件截止时间前自行在华采招标集团有限公司电子招投标平台系统下载招标文件、补充公告和澄清文件等资料。投标人应合理安排招标文件获取时间，特别是网络速度慢的地区防止在系统关闭前网络拥堵无法操作。如果因计算机及网络故障造成无法完成招标文件获取，责任自负。</w:t>
      </w:r>
    </w:p>
    <w:p w14:paraId="7D59B893">
      <w:pPr>
        <w:pStyle w:val="64"/>
        <w:keepNext w:val="0"/>
        <w:keepLines w:val="0"/>
        <w:pageBreakBefore w:val="0"/>
        <w:widowControl w:val="0"/>
        <w:kinsoku/>
        <w:wordWrap/>
        <w:overflowPunct/>
        <w:topLinePunct w:val="0"/>
        <w:autoSpaceDE w:val="0"/>
        <w:autoSpaceDN w:val="0"/>
        <w:bidi w:val="0"/>
        <w:adjustRightInd w:val="0"/>
        <w:spacing w:before="0" w:after="0" w:line="480" w:lineRule="exact"/>
        <w:ind w:firstLine="643"/>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6.本项目采用全流程电子化招标采购方式，投标人须办理CA数字证书，CA数字证书用于电子投标/投标文件的签章、制作与上传。</w:t>
      </w:r>
    </w:p>
    <w:p w14:paraId="2840A2A4">
      <w:pPr>
        <w:pStyle w:val="64"/>
        <w:keepNext w:val="0"/>
        <w:keepLines w:val="0"/>
        <w:pageBreakBefore w:val="0"/>
        <w:widowControl w:val="0"/>
        <w:kinsoku/>
        <w:wordWrap/>
        <w:overflowPunct/>
        <w:topLinePunct w:val="0"/>
        <w:autoSpaceDE w:val="0"/>
        <w:autoSpaceDN w:val="0"/>
        <w:bidi w:val="0"/>
        <w:adjustRightInd w:val="0"/>
        <w:spacing w:before="0" w:after="0" w:line="480" w:lineRule="exact"/>
        <w:ind w:firstLine="640"/>
        <w:jc w:val="both"/>
        <w:textAlignment w:val="auto"/>
        <w:rPr>
          <w:rFonts w:hint="eastAsia" w:ascii="宋体" w:hAnsi="宋体" w:eastAsia="宋体" w:cs="宋体"/>
          <w:b/>
          <w:bCs/>
          <w:kern w:val="0"/>
          <w:sz w:val="24"/>
          <w:szCs w:val="24"/>
          <w:highlight w:val="none"/>
        </w:rPr>
      </w:pPr>
      <w:bookmarkStart w:id="26" w:name="_Toc35393803"/>
      <w:bookmarkStart w:id="27" w:name="_Toc28359094"/>
      <w:bookmarkStart w:id="28" w:name="_Toc35393634"/>
      <w:bookmarkStart w:id="29" w:name="_Toc28359017"/>
      <w:r>
        <w:rPr>
          <w:rFonts w:hint="eastAsia" w:ascii="宋体" w:hAnsi="宋体" w:eastAsia="宋体" w:cs="宋体"/>
          <w:b/>
          <w:bCs/>
          <w:kern w:val="0"/>
          <w:sz w:val="24"/>
          <w:szCs w:val="24"/>
          <w:highlight w:val="none"/>
        </w:rPr>
        <w:t>六、</w:t>
      </w:r>
      <w:bookmarkEnd w:id="26"/>
      <w:bookmarkEnd w:id="27"/>
      <w:bookmarkEnd w:id="28"/>
      <w:bookmarkEnd w:id="29"/>
      <w:r>
        <w:rPr>
          <w:rFonts w:hint="eastAsia" w:ascii="宋体" w:hAnsi="宋体" w:eastAsia="宋体" w:cs="宋体"/>
          <w:b/>
          <w:bCs/>
          <w:kern w:val="0"/>
          <w:sz w:val="24"/>
          <w:szCs w:val="24"/>
          <w:highlight w:val="none"/>
        </w:rPr>
        <w:t>凡对本次采购提出询问，请按以下方式联系</w:t>
      </w:r>
    </w:p>
    <w:p w14:paraId="1541413C">
      <w:pPr>
        <w:pStyle w:val="64"/>
        <w:keepNext w:val="0"/>
        <w:keepLines w:val="0"/>
        <w:pageBreakBefore w:val="0"/>
        <w:widowControl w:val="0"/>
        <w:kinsoku/>
        <w:wordWrap/>
        <w:overflowPunct/>
        <w:topLinePunct w:val="0"/>
        <w:autoSpaceDE w:val="0"/>
        <w:autoSpaceDN w:val="0"/>
        <w:bidi w:val="0"/>
        <w:adjustRightInd w:val="0"/>
        <w:spacing w:before="0" w:after="0" w:line="480" w:lineRule="exact"/>
        <w:ind w:firstLine="64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对本项目有任何疑问或问题，请在工作时间（周一至周五，上午9:00-12:00，下午14:00-17:00，节假日休息）与</w:t>
      </w:r>
      <w:r>
        <w:rPr>
          <w:rFonts w:hint="eastAsia" w:ascii="宋体" w:hAnsi="宋体" w:eastAsia="宋体" w:cs="宋体"/>
          <w:sz w:val="24"/>
          <w:szCs w:val="24"/>
          <w:highlight w:val="none"/>
          <w:lang w:eastAsia="zh-CN"/>
        </w:rPr>
        <w:t>代理机构</w:t>
      </w:r>
      <w:r>
        <w:rPr>
          <w:rFonts w:hint="eastAsia" w:ascii="宋体" w:hAnsi="宋体" w:eastAsia="宋体" w:cs="宋体"/>
          <w:sz w:val="24"/>
          <w:szCs w:val="24"/>
          <w:highlight w:val="none"/>
        </w:rPr>
        <w:t>联系。</w:t>
      </w:r>
    </w:p>
    <w:p w14:paraId="301A37C6">
      <w:pPr>
        <w:pStyle w:val="64"/>
        <w:widowControl w:val="0"/>
        <w:autoSpaceDE w:val="0"/>
        <w:autoSpaceDN w:val="0"/>
        <w:adjustRightInd w:val="0"/>
        <w:spacing w:before="0" w:after="0" w:line="560" w:lineRule="exact"/>
        <w:ind w:firstLine="643"/>
        <w:jc w:val="both"/>
        <w:rPr>
          <w:rFonts w:hint="eastAsia" w:ascii="宋体" w:hAnsi="宋体" w:eastAsia="宋体" w:cs="宋体"/>
          <w:b/>
          <w:bCs/>
          <w:sz w:val="24"/>
          <w:szCs w:val="24"/>
          <w:highlight w:val="none"/>
        </w:rPr>
      </w:pPr>
      <w:bookmarkStart w:id="30" w:name="_Toc28359019"/>
      <w:bookmarkStart w:id="31" w:name="_Toc35393637"/>
      <w:bookmarkStart w:id="32" w:name="_Toc28359096"/>
      <w:bookmarkStart w:id="33" w:name="_Toc35393806"/>
      <w:r>
        <w:rPr>
          <w:rFonts w:hint="eastAsia" w:ascii="宋体" w:hAnsi="宋体" w:eastAsia="宋体" w:cs="宋体"/>
          <w:b/>
          <w:bCs/>
          <w:sz w:val="24"/>
          <w:szCs w:val="24"/>
          <w:highlight w:val="none"/>
        </w:rPr>
        <w:t>1、采购人信息</w:t>
      </w:r>
      <w:bookmarkEnd w:id="30"/>
      <w:bookmarkEnd w:id="31"/>
      <w:bookmarkEnd w:id="32"/>
      <w:bookmarkEnd w:id="33"/>
    </w:p>
    <w:p w14:paraId="0DF22D50">
      <w:pPr>
        <w:pStyle w:val="64"/>
        <w:widowControl w:val="0"/>
        <w:autoSpaceDE w:val="0"/>
        <w:autoSpaceDN w:val="0"/>
        <w:adjustRightInd w:val="0"/>
        <w:spacing w:before="0" w:after="0" w:line="560" w:lineRule="exact"/>
        <w:ind w:firstLine="64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名    称：巢湖学院              </w:t>
      </w:r>
    </w:p>
    <w:p w14:paraId="2C6CBA4A">
      <w:pPr>
        <w:pStyle w:val="64"/>
        <w:widowControl w:val="0"/>
        <w:autoSpaceDE w:val="0"/>
        <w:autoSpaceDN w:val="0"/>
        <w:adjustRightInd w:val="0"/>
        <w:spacing w:before="0" w:after="0" w:line="560" w:lineRule="exact"/>
        <w:ind w:firstLine="64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    址：安徽省巢湖经济开发区半汤路一号 </w:t>
      </w:r>
    </w:p>
    <w:p w14:paraId="4A5EF99C">
      <w:pPr>
        <w:pStyle w:val="64"/>
        <w:widowControl w:val="0"/>
        <w:autoSpaceDE w:val="0"/>
        <w:autoSpaceDN w:val="0"/>
        <w:adjustRightInd w:val="0"/>
        <w:spacing w:before="0" w:after="0" w:line="560" w:lineRule="exact"/>
        <w:ind w:firstLine="64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联系方式：0551-</w:t>
      </w:r>
      <w:r>
        <w:rPr>
          <w:rFonts w:hint="eastAsia" w:ascii="宋体" w:hAnsi="宋体" w:eastAsia="宋体" w:cs="宋体"/>
          <w:sz w:val="24"/>
          <w:szCs w:val="24"/>
          <w:highlight w:val="none"/>
          <w:lang w:eastAsia="zh-CN"/>
        </w:rPr>
        <w:t>82362702</w:t>
      </w:r>
      <w:r>
        <w:rPr>
          <w:rFonts w:hint="eastAsia" w:ascii="宋体" w:hAnsi="宋体" w:eastAsia="宋体" w:cs="宋体"/>
          <w:sz w:val="24"/>
          <w:szCs w:val="24"/>
          <w:highlight w:val="none"/>
        </w:rPr>
        <w:t>　 　      　　</w:t>
      </w:r>
    </w:p>
    <w:p w14:paraId="5D03BB08">
      <w:pPr>
        <w:pStyle w:val="64"/>
        <w:widowControl w:val="0"/>
        <w:autoSpaceDE w:val="0"/>
        <w:autoSpaceDN w:val="0"/>
        <w:adjustRightInd w:val="0"/>
        <w:spacing w:before="0" w:after="0" w:line="560" w:lineRule="exact"/>
        <w:ind w:firstLine="643"/>
        <w:jc w:val="both"/>
        <w:rPr>
          <w:rFonts w:hint="eastAsia" w:ascii="宋体" w:hAnsi="宋体" w:eastAsia="宋体" w:cs="宋体"/>
          <w:b/>
          <w:bCs/>
          <w:sz w:val="24"/>
          <w:szCs w:val="24"/>
          <w:highlight w:val="none"/>
        </w:rPr>
      </w:pPr>
      <w:bookmarkStart w:id="34" w:name="_Toc35393807"/>
      <w:bookmarkStart w:id="35" w:name="_Toc35393638"/>
      <w:bookmarkStart w:id="36" w:name="_Toc28359020"/>
      <w:bookmarkStart w:id="37" w:name="_Toc28359097"/>
      <w:r>
        <w:rPr>
          <w:rFonts w:hint="eastAsia" w:ascii="宋体" w:hAnsi="宋体" w:eastAsia="宋体" w:cs="宋体"/>
          <w:b/>
          <w:bCs/>
          <w:sz w:val="24"/>
          <w:szCs w:val="24"/>
          <w:highlight w:val="none"/>
        </w:rPr>
        <w:t>2、采购代理机构信息</w:t>
      </w:r>
      <w:bookmarkEnd w:id="34"/>
      <w:bookmarkEnd w:id="35"/>
      <w:bookmarkEnd w:id="36"/>
      <w:bookmarkEnd w:id="37"/>
    </w:p>
    <w:p w14:paraId="0616938C">
      <w:pPr>
        <w:pStyle w:val="64"/>
        <w:widowControl w:val="0"/>
        <w:autoSpaceDE w:val="0"/>
        <w:autoSpaceDN w:val="0"/>
        <w:adjustRightInd w:val="0"/>
        <w:spacing w:before="0" w:after="0" w:line="560" w:lineRule="exact"/>
        <w:ind w:firstLine="64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名    称：华采招标集团有限公司                </w:t>
      </w:r>
    </w:p>
    <w:p w14:paraId="5B148C2B">
      <w:pPr>
        <w:pStyle w:val="64"/>
        <w:widowControl w:val="0"/>
        <w:autoSpaceDE w:val="0"/>
        <w:autoSpaceDN w:val="0"/>
        <w:adjustRightInd w:val="0"/>
        <w:spacing w:before="0" w:after="0" w:line="560" w:lineRule="exact"/>
        <w:ind w:firstLine="64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地　　址：合肥市包河区宿松路与南二环交叉口绿地中心B座14楼</w:t>
      </w:r>
    </w:p>
    <w:p w14:paraId="4643DC49">
      <w:pPr>
        <w:pStyle w:val="64"/>
        <w:widowControl w:val="0"/>
        <w:autoSpaceDE w:val="0"/>
        <w:autoSpaceDN w:val="0"/>
        <w:adjustRightInd w:val="0"/>
        <w:spacing w:before="0" w:after="0" w:line="560" w:lineRule="exact"/>
        <w:ind w:firstLine="64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 系 人：</w:t>
      </w:r>
      <w:r>
        <w:rPr>
          <w:rFonts w:hint="eastAsia" w:ascii="宋体" w:hAnsi="宋体" w:eastAsia="宋体" w:cs="宋体"/>
          <w:sz w:val="24"/>
          <w:szCs w:val="24"/>
          <w:highlight w:val="none"/>
          <w:lang w:eastAsia="zh-CN"/>
        </w:rPr>
        <w:t>王女士</w:t>
      </w:r>
    </w:p>
    <w:p w14:paraId="7ECDF4C9">
      <w:pPr>
        <w:pStyle w:val="64"/>
        <w:widowControl w:val="0"/>
        <w:autoSpaceDE w:val="0"/>
        <w:autoSpaceDN w:val="0"/>
        <w:adjustRightInd w:val="0"/>
        <w:spacing w:before="0" w:after="0" w:line="560" w:lineRule="exact"/>
        <w:ind w:firstLine="64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联系方式： 0551-62620513/</w:t>
      </w:r>
      <w:r>
        <w:rPr>
          <w:rFonts w:hint="eastAsia" w:ascii="宋体" w:hAnsi="宋体" w:eastAsia="宋体" w:cs="宋体"/>
          <w:sz w:val="24"/>
          <w:szCs w:val="24"/>
          <w:highlight w:val="none"/>
          <w:lang w:eastAsia="zh-CN"/>
        </w:rPr>
        <w:t>13865916101</w:t>
      </w:r>
      <w:r>
        <w:rPr>
          <w:rFonts w:hint="eastAsia" w:ascii="宋体" w:hAnsi="宋体" w:eastAsia="宋体" w:cs="宋体"/>
          <w:sz w:val="24"/>
          <w:szCs w:val="24"/>
          <w:highlight w:val="none"/>
        </w:rPr>
        <w:t xml:space="preserve">             　</w:t>
      </w:r>
    </w:p>
    <w:p w14:paraId="2A2B8585">
      <w:pPr>
        <w:pStyle w:val="64"/>
        <w:widowControl w:val="0"/>
        <w:autoSpaceDE w:val="0"/>
        <w:autoSpaceDN w:val="0"/>
        <w:adjustRightInd w:val="0"/>
        <w:spacing w:before="0" w:after="0" w:line="360" w:lineRule="auto"/>
        <w:ind w:firstLine="640"/>
        <w:jc w:val="right"/>
        <w:rPr>
          <w:rFonts w:hint="eastAsia" w:ascii="宋体" w:hAnsi="宋体" w:eastAsia="宋体" w:cs="宋体"/>
          <w:sz w:val="24"/>
          <w:szCs w:val="24"/>
          <w:highlight w:val="none"/>
          <w:lang w:val="en-US" w:eastAsia="zh-CN"/>
        </w:rPr>
      </w:pPr>
    </w:p>
    <w:p w14:paraId="5B269583">
      <w:pPr>
        <w:pStyle w:val="64"/>
        <w:widowControl w:val="0"/>
        <w:autoSpaceDE w:val="0"/>
        <w:autoSpaceDN w:val="0"/>
        <w:adjustRightInd w:val="0"/>
        <w:spacing w:before="0" w:after="0" w:line="360" w:lineRule="auto"/>
        <w:ind w:firstLine="640"/>
        <w:jc w:val="right"/>
        <w:rPr>
          <w:rFonts w:hint="eastAsia" w:ascii="宋体" w:hAnsi="宋体" w:eastAsia="宋体" w:cs="宋体"/>
          <w:sz w:val="24"/>
          <w:szCs w:val="24"/>
          <w:highlight w:val="none"/>
          <w:lang w:val="en-US" w:eastAsia="zh-CN"/>
        </w:rPr>
      </w:pPr>
    </w:p>
    <w:p w14:paraId="79A083D4">
      <w:pPr>
        <w:pStyle w:val="64"/>
        <w:widowControl w:val="0"/>
        <w:autoSpaceDE w:val="0"/>
        <w:autoSpaceDN w:val="0"/>
        <w:adjustRightInd w:val="0"/>
        <w:spacing w:before="0" w:after="0" w:line="360" w:lineRule="auto"/>
        <w:ind w:firstLine="640"/>
        <w:jc w:val="right"/>
        <w:rPr>
          <w:rFonts w:asciiTheme="majorEastAsia" w:hAnsiTheme="majorEastAsia" w:eastAsiaTheme="majorEastAsia" w:cstheme="majorEastAsia"/>
          <w:b/>
          <w:bCs/>
          <w:sz w:val="24"/>
          <w:szCs w:val="24"/>
          <w:highlight w:val="none"/>
        </w:rPr>
      </w:pPr>
      <w:r>
        <w:rPr>
          <w:rFonts w:hint="eastAsia" w:ascii="宋体" w:hAnsi="宋体" w:eastAsia="宋体" w:cs="宋体"/>
          <w:sz w:val="24"/>
          <w:szCs w:val="24"/>
          <w:highlight w:val="none"/>
          <w:lang w:val="en-US" w:eastAsia="zh-CN"/>
        </w:rPr>
        <w:t>2024年8月14日</w:t>
      </w:r>
      <w:r>
        <w:rPr>
          <w:rFonts w:hint="eastAsia" w:asciiTheme="majorEastAsia" w:hAnsiTheme="majorEastAsia" w:eastAsiaTheme="majorEastAsia" w:cstheme="majorEastAsia"/>
          <w:b/>
          <w:bCs/>
          <w:sz w:val="24"/>
          <w:szCs w:val="24"/>
          <w:highlight w:val="none"/>
        </w:rPr>
        <w:br w:type="page"/>
      </w:r>
    </w:p>
    <w:bookmarkEnd w:id="2"/>
    <w:p w14:paraId="5DE834A0">
      <w:pPr>
        <w:pStyle w:val="27"/>
        <w:ind w:left="0" w:firstLine="0" w:firstLineChars="0"/>
        <w:jc w:val="center"/>
        <w:outlineLvl w:val="0"/>
        <w:rPr>
          <w:rFonts w:asciiTheme="majorEastAsia" w:hAnsiTheme="majorEastAsia" w:eastAsiaTheme="majorEastAsia" w:cstheme="majorEastAsia"/>
          <w:b/>
          <w:bCs/>
          <w:szCs w:val="32"/>
          <w:highlight w:val="none"/>
        </w:rPr>
      </w:pPr>
      <w:bookmarkStart w:id="38" w:name="_Toc28468"/>
      <w:r>
        <w:rPr>
          <w:rFonts w:hint="eastAsia" w:asciiTheme="majorEastAsia" w:hAnsiTheme="majorEastAsia" w:eastAsiaTheme="majorEastAsia" w:cstheme="majorEastAsia"/>
          <w:b/>
          <w:bCs/>
          <w:szCs w:val="32"/>
          <w:highlight w:val="none"/>
        </w:rPr>
        <w:t>第二章  供应商须知及前附表</w:t>
      </w:r>
      <w:bookmarkEnd w:id="38"/>
    </w:p>
    <w:p w14:paraId="41B2AE17">
      <w:pPr>
        <w:pStyle w:val="3"/>
        <w:spacing w:line="400" w:lineRule="exact"/>
        <w:ind w:firstLine="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一</w:t>
      </w:r>
      <w:bookmarkStart w:id="39" w:name="_Hlt510343011"/>
      <w:bookmarkStart w:id="40" w:name="_Hlt510342998"/>
      <w:r>
        <w:rPr>
          <w:rFonts w:hint="eastAsia" w:asciiTheme="minorEastAsia" w:hAnsiTheme="minorEastAsia" w:eastAsiaTheme="minorEastAsia" w:cstheme="minorEastAsia"/>
          <w:sz w:val="28"/>
          <w:szCs w:val="28"/>
          <w:highlight w:val="none"/>
        </w:rPr>
        <w:t>、供应商须</w:t>
      </w:r>
      <w:bookmarkEnd w:id="39"/>
      <w:r>
        <w:rPr>
          <w:rFonts w:hint="eastAsia" w:asciiTheme="minorEastAsia" w:hAnsiTheme="minorEastAsia" w:eastAsiaTheme="minorEastAsia" w:cstheme="minorEastAsia"/>
          <w:sz w:val="28"/>
          <w:szCs w:val="28"/>
          <w:highlight w:val="none"/>
        </w:rPr>
        <w:t>知前</w:t>
      </w:r>
      <w:bookmarkEnd w:id="40"/>
      <w:r>
        <w:rPr>
          <w:rFonts w:hint="eastAsia" w:asciiTheme="minorEastAsia" w:hAnsiTheme="minorEastAsia" w:eastAsiaTheme="minorEastAsia" w:cstheme="minorEastAsia"/>
          <w:sz w:val="28"/>
          <w:szCs w:val="28"/>
          <w:highlight w:val="none"/>
        </w:rPr>
        <w:t>附表</w:t>
      </w:r>
    </w:p>
    <w:bookmarkEnd w:id="3"/>
    <w:bookmarkEnd w:id="4"/>
    <w:bookmarkEnd w:id="5"/>
    <w:tbl>
      <w:tblPr>
        <w:tblStyle w:val="28"/>
        <w:tblW w:w="10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900"/>
        <w:gridCol w:w="7550"/>
      </w:tblGrid>
      <w:tr w14:paraId="5D43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53" w:type="dxa"/>
            <w:vAlign w:val="center"/>
          </w:tcPr>
          <w:p w14:paraId="6A1557B6">
            <w:pPr>
              <w:spacing w:line="440" w:lineRule="exact"/>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序号</w:t>
            </w:r>
          </w:p>
        </w:tc>
        <w:tc>
          <w:tcPr>
            <w:tcW w:w="1900" w:type="dxa"/>
            <w:vAlign w:val="center"/>
          </w:tcPr>
          <w:p w14:paraId="6FA86CC8">
            <w:pPr>
              <w:spacing w:line="440" w:lineRule="exact"/>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内容</w:t>
            </w:r>
          </w:p>
        </w:tc>
        <w:tc>
          <w:tcPr>
            <w:tcW w:w="7550" w:type="dxa"/>
            <w:vAlign w:val="center"/>
          </w:tcPr>
          <w:p w14:paraId="02C930A1">
            <w:pPr>
              <w:spacing w:line="440" w:lineRule="exact"/>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说明与要求</w:t>
            </w:r>
          </w:p>
        </w:tc>
      </w:tr>
      <w:tr w14:paraId="1D393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753" w:type="dxa"/>
            <w:vAlign w:val="center"/>
          </w:tcPr>
          <w:p w14:paraId="47A49F7B">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1900" w:type="dxa"/>
            <w:vAlign w:val="center"/>
          </w:tcPr>
          <w:p w14:paraId="680A7271">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项目概括</w:t>
            </w:r>
          </w:p>
        </w:tc>
        <w:tc>
          <w:tcPr>
            <w:tcW w:w="7550" w:type="dxa"/>
            <w:vAlign w:val="center"/>
          </w:tcPr>
          <w:p w14:paraId="5E5C7CFC">
            <w:pPr>
              <w:spacing w:line="440" w:lineRule="exact"/>
              <w:ind w:firstLine="3"/>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rPr>
              <w:t>项目名称：</w:t>
            </w:r>
            <w:r>
              <w:rPr>
                <w:rFonts w:hint="eastAsia" w:asciiTheme="minorEastAsia" w:hAnsiTheme="minorEastAsia" w:eastAsiaTheme="minorEastAsia" w:cstheme="minorEastAsia"/>
                <w:szCs w:val="21"/>
                <w:highlight w:val="none"/>
                <w:lang w:eastAsia="zh-CN"/>
              </w:rPr>
              <w:t>巢湖学院优质课程资源与课程资源平台服务项目</w:t>
            </w:r>
          </w:p>
          <w:p w14:paraId="583DADDE">
            <w:pPr>
              <w:spacing w:line="440" w:lineRule="exact"/>
              <w:ind w:firstLine="3"/>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项目编号：</w:t>
            </w:r>
            <w:r>
              <w:rPr>
                <w:rFonts w:hint="eastAsia" w:asciiTheme="minorEastAsia" w:hAnsiTheme="minorEastAsia" w:eastAsiaTheme="minorEastAsia" w:cstheme="minorEastAsia"/>
                <w:szCs w:val="21"/>
                <w:highlight w:val="none"/>
                <w:lang w:eastAsia="zh-CN"/>
              </w:rPr>
              <w:t>HCZB-2024-ZB1285</w:t>
            </w:r>
            <w:r>
              <w:rPr>
                <w:rFonts w:hint="eastAsia" w:asciiTheme="minorEastAsia" w:hAnsiTheme="minorEastAsia" w:eastAsiaTheme="minorEastAsia" w:cstheme="minorEastAsia"/>
                <w:szCs w:val="21"/>
                <w:highlight w:val="none"/>
              </w:rPr>
              <w:t xml:space="preserve"> </w:t>
            </w:r>
          </w:p>
        </w:tc>
      </w:tr>
      <w:tr w14:paraId="040E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53" w:type="dxa"/>
            <w:vAlign w:val="center"/>
          </w:tcPr>
          <w:p w14:paraId="2499FB94">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1900" w:type="dxa"/>
            <w:vAlign w:val="center"/>
          </w:tcPr>
          <w:p w14:paraId="6C6D9BE8">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采购人</w:t>
            </w:r>
          </w:p>
        </w:tc>
        <w:tc>
          <w:tcPr>
            <w:tcW w:w="7550" w:type="dxa"/>
            <w:vAlign w:val="center"/>
          </w:tcPr>
          <w:p w14:paraId="7B4BADC9">
            <w:pPr>
              <w:spacing w:line="440" w:lineRule="exact"/>
              <w:ind w:firstLine="3"/>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详见磋商公告</w:t>
            </w:r>
          </w:p>
        </w:tc>
      </w:tr>
      <w:tr w14:paraId="7F36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53" w:type="dxa"/>
            <w:vAlign w:val="center"/>
          </w:tcPr>
          <w:p w14:paraId="662DA491">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p>
        </w:tc>
        <w:tc>
          <w:tcPr>
            <w:tcW w:w="1900" w:type="dxa"/>
            <w:vAlign w:val="center"/>
          </w:tcPr>
          <w:p w14:paraId="475B16AD">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采购代理机构</w:t>
            </w:r>
          </w:p>
        </w:tc>
        <w:tc>
          <w:tcPr>
            <w:tcW w:w="7550" w:type="dxa"/>
            <w:vAlign w:val="center"/>
          </w:tcPr>
          <w:p w14:paraId="5DB1B6FB">
            <w:pPr>
              <w:spacing w:line="440" w:lineRule="exact"/>
              <w:ind w:firstLine="3"/>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详见磋商公告</w:t>
            </w:r>
          </w:p>
        </w:tc>
      </w:tr>
      <w:tr w14:paraId="1C15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53" w:type="dxa"/>
            <w:vAlign w:val="center"/>
          </w:tcPr>
          <w:p w14:paraId="3FDE210A">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w:t>
            </w:r>
          </w:p>
        </w:tc>
        <w:tc>
          <w:tcPr>
            <w:tcW w:w="1900" w:type="dxa"/>
            <w:vAlign w:val="center"/>
          </w:tcPr>
          <w:p w14:paraId="1B0B0E3E">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服务地点</w:t>
            </w:r>
          </w:p>
        </w:tc>
        <w:tc>
          <w:tcPr>
            <w:tcW w:w="7550" w:type="dxa"/>
            <w:vAlign w:val="center"/>
          </w:tcPr>
          <w:p w14:paraId="6FC43EF0">
            <w:pPr>
              <w:spacing w:line="440" w:lineRule="exact"/>
              <w:jc w:val="left"/>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rPr>
              <w:t>巢湖学院，采购人指定地点。</w:t>
            </w:r>
          </w:p>
        </w:tc>
      </w:tr>
      <w:tr w14:paraId="3AB1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53" w:type="dxa"/>
            <w:vAlign w:val="center"/>
          </w:tcPr>
          <w:p w14:paraId="7F112A2E">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w:t>
            </w:r>
          </w:p>
        </w:tc>
        <w:tc>
          <w:tcPr>
            <w:tcW w:w="1900" w:type="dxa"/>
            <w:vAlign w:val="center"/>
          </w:tcPr>
          <w:p w14:paraId="47AF68D6">
            <w:pPr>
              <w:spacing w:line="44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采购范围</w:t>
            </w:r>
          </w:p>
        </w:tc>
        <w:tc>
          <w:tcPr>
            <w:tcW w:w="7550" w:type="dxa"/>
            <w:vAlign w:val="center"/>
          </w:tcPr>
          <w:p w14:paraId="098ACA06">
            <w:pPr>
              <w:spacing w:line="44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不分包</w:t>
            </w:r>
          </w:p>
          <w:p w14:paraId="55D23E24">
            <w:pPr>
              <w:spacing w:line="44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共分2个包，分包划分及相应采购内容如下： </w:t>
            </w:r>
          </w:p>
          <w:p w14:paraId="5B262BE2">
            <w:pPr>
              <w:spacing w:line="44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第一包：优质课程资源 25万元；</w:t>
            </w:r>
          </w:p>
          <w:p w14:paraId="380BA59B">
            <w:pPr>
              <w:spacing w:line="44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第二包：课程资源平台服务 20万元。</w:t>
            </w:r>
          </w:p>
        </w:tc>
      </w:tr>
      <w:tr w14:paraId="5757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753" w:type="dxa"/>
            <w:vAlign w:val="center"/>
          </w:tcPr>
          <w:p w14:paraId="34A6FE7F">
            <w:pPr>
              <w:jc w:val="center"/>
              <w:rPr>
                <w:rFonts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Cs w:val="21"/>
                <w:highlight w:val="none"/>
              </w:rPr>
              <w:t>6</w:t>
            </w:r>
          </w:p>
        </w:tc>
        <w:tc>
          <w:tcPr>
            <w:tcW w:w="1900" w:type="dxa"/>
            <w:vAlign w:val="center"/>
          </w:tcPr>
          <w:p w14:paraId="1FE85E29">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质量标准</w:t>
            </w:r>
          </w:p>
        </w:tc>
        <w:tc>
          <w:tcPr>
            <w:tcW w:w="7550" w:type="dxa"/>
            <w:vAlign w:val="center"/>
          </w:tcPr>
          <w:p w14:paraId="713E83EE">
            <w:pPr>
              <w:widowControl/>
              <w:shd w:val="clear" w:color="auto" w:fill="FFFFFF"/>
              <w:spacing w:line="580" w:lineRule="exact"/>
              <w:jc w:val="both"/>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合格、</w:t>
            </w:r>
            <w:r>
              <w:rPr>
                <w:rFonts w:hint="eastAsia" w:asciiTheme="minorEastAsia" w:hAnsiTheme="minorEastAsia" w:eastAsiaTheme="minorEastAsia" w:cstheme="minorEastAsia"/>
                <w:kern w:val="0"/>
                <w:szCs w:val="21"/>
                <w:highlight w:val="none"/>
                <w:lang w:eastAsia="zh-CN"/>
              </w:rPr>
              <w:t>符合磋商文件要求以及</w:t>
            </w:r>
            <w:r>
              <w:rPr>
                <w:rFonts w:hint="eastAsia" w:asciiTheme="minorEastAsia" w:hAnsiTheme="minorEastAsia" w:eastAsiaTheme="minorEastAsia" w:cstheme="minorEastAsia"/>
                <w:kern w:val="0"/>
                <w:szCs w:val="21"/>
                <w:highlight w:val="none"/>
              </w:rPr>
              <w:t>达到采购人要求。</w:t>
            </w:r>
          </w:p>
        </w:tc>
      </w:tr>
      <w:tr w14:paraId="140E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9" w:hRule="atLeast"/>
          <w:jc w:val="center"/>
        </w:trPr>
        <w:tc>
          <w:tcPr>
            <w:tcW w:w="753" w:type="dxa"/>
            <w:vAlign w:val="center"/>
          </w:tcPr>
          <w:p w14:paraId="553FC14D">
            <w:pPr>
              <w:jc w:val="center"/>
              <w:rPr>
                <w:rFonts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Cs w:val="21"/>
                <w:highlight w:val="none"/>
              </w:rPr>
              <w:t>7</w:t>
            </w:r>
          </w:p>
        </w:tc>
        <w:tc>
          <w:tcPr>
            <w:tcW w:w="1900" w:type="dxa"/>
            <w:vAlign w:val="center"/>
          </w:tcPr>
          <w:p w14:paraId="60BC93BC">
            <w:pPr>
              <w:widowControl/>
              <w:shd w:val="clear" w:color="auto" w:fill="FFFFFF"/>
              <w:spacing w:line="580" w:lineRule="exact"/>
              <w:jc w:val="center"/>
              <w:rPr>
                <w:rFonts w:hint="eastAsia" w:asciiTheme="minorEastAsia" w:hAnsiTheme="minorEastAsia" w:eastAsiaTheme="minorEastAsia" w:cstheme="minorEastAsia"/>
                <w:kern w:val="0"/>
                <w:szCs w:val="21"/>
                <w:highlight w:val="none"/>
                <w:lang w:eastAsia="zh-CN"/>
              </w:rPr>
            </w:pPr>
            <w:r>
              <w:rPr>
                <w:rFonts w:hint="eastAsia" w:asciiTheme="minorEastAsia" w:hAnsiTheme="minorEastAsia" w:eastAsiaTheme="minorEastAsia" w:cstheme="minorEastAsia"/>
                <w:kern w:val="0"/>
                <w:szCs w:val="21"/>
                <w:highlight w:val="none"/>
              </w:rPr>
              <w:t>最高限价</w:t>
            </w:r>
            <w:r>
              <w:rPr>
                <w:rFonts w:hint="eastAsia" w:asciiTheme="minorEastAsia" w:hAnsiTheme="minorEastAsia" w:eastAsiaTheme="minorEastAsia" w:cstheme="minorEastAsia"/>
                <w:kern w:val="0"/>
                <w:szCs w:val="21"/>
                <w:highlight w:val="none"/>
                <w:lang w:val="en-US" w:eastAsia="zh-CN"/>
              </w:rPr>
              <w:t xml:space="preserve">      </w:t>
            </w:r>
          </w:p>
        </w:tc>
        <w:tc>
          <w:tcPr>
            <w:tcW w:w="7550" w:type="dxa"/>
            <w:vAlign w:val="center"/>
          </w:tcPr>
          <w:p w14:paraId="5F9B420C">
            <w:pPr>
              <w:widowControl/>
              <w:shd w:val="clear" w:color="auto" w:fill="FFFFFF"/>
              <w:spacing w:line="580" w:lineRule="exac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w:t>
            </w:r>
            <w:r>
              <w:rPr>
                <w:rFonts w:hint="eastAsia" w:asciiTheme="minorEastAsia" w:hAnsiTheme="minorEastAsia" w:eastAsiaTheme="minorEastAsia" w:cstheme="minorEastAsia"/>
                <w:kern w:val="0"/>
                <w:szCs w:val="21"/>
                <w:highlight w:val="none"/>
                <w:lang w:eastAsia="zh-CN"/>
              </w:rPr>
              <w:t>供应商</w:t>
            </w:r>
            <w:r>
              <w:rPr>
                <w:rFonts w:hint="eastAsia" w:asciiTheme="minorEastAsia" w:hAnsiTheme="minorEastAsia" w:eastAsiaTheme="minorEastAsia" w:cstheme="minorEastAsia"/>
                <w:kern w:val="0"/>
                <w:szCs w:val="21"/>
                <w:highlight w:val="none"/>
              </w:rPr>
              <w:t>应按</w:t>
            </w:r>
            <w:r>
              <w:rPr>
                <w:rFonts w:hint="eastAsia" w:asciiTheme="minorEastAsia" w:hAnsiTheme="minorEastAsia" w:eastAsiaTheme="minorEastAsia" w:cstheme="minorEastAsia"/>
                <w:kern w:val="0"/>
                <w:szCs w:val="21"/>
                <w:highlight w:val="none"/>
                <w:lang w:eastAsia="zh-CN"/>
              </w:rPr>
              <w:t>磋商文件</w:t>
            </w:r>
            <w:r>
              <w:rPr>
                <w:rFonts w:hint="eastAsia" w:asciiTheme="minorEastAsia" w:hAnsiTheme="minorEastAsia" w:eastAsiaTheme="minorEastAsia" w:cstheme="minorEastAsia"/>
                <w:kern w:val="0"/>
                <w:szCs w:val="21"/>
                <w:highlight w:val="none"/>
              </w:rPr>
              <w:t>要求报价。</w:t>
            </w:r>
            <w:r>
              <w:rPr>
                <w:rFonts w:hint="eastAsia" w:asciiTheme="minorEastAsia" w:hAnsiTheme="minorEastAsia" w:eastAsiaTheme="minorEastAsia" w:cstheme="minorEastAsia"/>
                <w:kern w:val="0"/>
                <w:szCs w:val="21"/>
                <w:highlight w:val="none"/>
                <w:lang w:eastAsia="zh-CN"/>
              </w:rPr>
              <w:t>供应商</w:t>
            </w:r>
            <w:r>
              <w:rPr>
                <w:rFonts w:hint="eastAsia" w:asciiTheme="minorEastAsia" w:hAnsiTheme="minorEastAsia" w:eastAsiaTheme="minorEastAsia" w:cstheme="minorEastAsia"/>
                <w:kern w:val="0"/>
                <w:szCs w:val="21"/>
                <w:highlight w:val="none"/>
              </w:rPr>
              <w:t>的投标报价，如果有任何遗漏，均被视为</w:t>
            </w:r>
            <w:r>
              <w:rPr>
                <w:rFonts w:hint="eastAsia" w:asciiTheme="minorEastAsia" w:hAnsiTheme="minorEastAsia" w:eastAsiaTheme="minorEastAsia" w:cstheme="minorEastAsia"/>
                <w:kern w:val="0"/>
                <w:szCs w:val="21"/>
                <w:highlight w:val="none"/>
                <w:lang w:eastAsia="zh-CN"/>
              </w:rPr>
              <w:t>供应商</w:t>
            </w:r>
            <w:r>
              <w:rPr>
                <w:rFonts w:hint="eastAsia" w:asciiTheme="minorEastAsia" w:hAnsiTheme="minorEastAsia" w:eastAsiaTheme="minorEastAsia" w:cstheme="minorEastAsia"/>
                <w:kern w:val="0"/>
                <w:szCs w:val="21"/>
                <w:highlight w:val="none"/>
              </w:rPr>
              <w:t>已经在其投标报价中考虑。</w:t>
            </w:r>
          </w:p>
          <w:p w14:paraId="6F356CFF">
            <w:pPr>
              <w:widowControl/>
              <w:shd w:val="clear" w:color="auto" w:fill="FFFFFF"/>
              <w:spacing w:line="580" w:lineRule="exac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2.投标报价：本项目采用人民币报价，投标报价方式为招标范围内包干价，按实结算,应包含与项目相关的一切费用。</w:t>
            </w:r>
          </w:p>
          <w:p w14:paraId="31D6FB91">
            <w:pPr>
              <w:widowControl/>
              <w:shd w:val="clear" w:color="auto" w:fill="FFFFFF"/>
              <w:spacing w:line="580" w:lineRule="exac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w:t>
            </w:r>
            <w:r>
              <w:rPr>
                <w:rFonts w:hint="eastAsia" w:asciiTheme="minorEastAsia" w:hAnsiTheme="minorEastAsia" w:eastAsiaTheme="minorEastAsia" w:cstheme="minorEastAsia"/>
                <w:kern w:val="0"/>
                <w:szCs w:val="21"/>
                <w:highlight w:val="none"/>
                <w:lang w:eastAsia="zh-CN"/>
              </w:rPr>
              <w:t>供应商</w:t>
            </w:r>
            <w:r>
              <w:rPr>
                <w:rFonts w:hint="eastAsia" w:asciiTheme="minorEastAsia" w:hAnsiTheme="minorEastAsia" w:eastAsiaTheme="minorEastAsia" w:cstheme="minorEastAsia"/>
                <w:kern w:val="0"/>
                <w:szCs w:val="21"/>
                <w:highlight w:val="none"/>
              </w:rPr>
              <w:t>所报价格包含全部报价，</w:t>
            </w:r>
            <w:r>
              <w:rPr>
                <w:rFonts w:hint="eastAsia" w:asciiTheme="minorEastAsia" w:hAnsiTheme="minorEastAsia" w:eastAsiaTheme="minorEastAsia" w:cstheme="minorEastAsia"/>
                <w:kern w:val="0"/>
                <w:szCs w:val="21"/>
                <w:highlight w:val="none"/>
                <w:lang w:eastAsia="zh-CN"/>
              </w:rPr>
              <w:t>供应商</w:t>
            </w:r>
            <w:r>
              <w:rPr>
                <w:rFonts w:hint="eastAsia" w:asciiTheme="minorEastAsia" w:hAnsiTheme="minorEastAsia" w:eastAsiaTheme="minorEastAsia" w:cstheme="minorEastAsia"/>
                <w:kern w:val="0"/>
                <w:szCs w:val="21"/>
                <w:highlight w:val="none"/>
              </w:rPr>
              <w:t>所报价格在合同实施期间不因市场变化因素而变动。</w:t>
            </w:r>
          </w:p>
          <w:p w14:paraId="548AE896">
            <w:pPr>
              <w:widowControl/>
              <w:shd w:val="clear" w:color="auto" w:fill="FFFFFF"/>
              <w:spacing w:line="580" w:lineRule="exact"/>
              <w:rPr>
                <w:rFonts w:hint="eastAsia" w:ascii="宋体" w:hAnsi="宋体" w:cs="宋体"/>
                <w:b w:val="0"/>
                <w:bCs/>
                <w:szCs w:val="21"/>
                <w:highlight w:val="none"/>
              </w:rPr>
            </w:pPr>
            <w:r>
              <w:rPr>
                <w:rFonts w:hint="eastAsia" w:ascii="宋体" w:hAnsi="宋体" w:cs="宋体"/>
                <w:b/>
                <w:szCs w:val="21"/>
                <w:highlight w:val="none"/>
              </w:rPr>
              <w:t>本项目设置最高投标限价：</w:t>
            </w:r>
            <w:r>
              <w:rPr>
                <w:rFonts w:hint="eastAsia" w:ascii="宋体" w:hAnsi="宋体" w:cs="宋体"/>
                <w:b w:val="0"/>
                <w:bCs/>
                <w:szCs w:val="21"/>
                <w:highlight w:val="none"/>
              </w:rPr>
              <w:t>第一包25万元；</w:t>
            </w:r>
          </w:p>
          <w:p w14:paraId="572473D9">
            <w:pPr>
              <w:widowControl/>
              <w:shd w:val="clear" w:color="auto" w:fill="FFFFFF"/>
              <w:spacing w:line="580" w:lineRule="exact"/>
              <w:ind w:firstLine="2520" w:firstLineChars="1200"/>
              <w:rPr>
                <w:rFonts w:eastAsiaTheme="minorEastAsia"/>
                <w:highlight w:val="none"/>
              </w:rPr>
            </w:pPr>
            <w:r>
              <w:rPr>
                <w:rFonts w:hint="eastAsia" w:ascii="宋体" w:hAnsi="宋体" w:cs="宋体"/>
                <w:b w:val="0"/>
                <w:bCs/>
                <w:szCs w:val="21"/>
                <w:highlight w:val="none"/>
              </w:rPr>
              <w:t xml:space="preserve">第二包20万元。   </w:t>
            </w:r>
          </w:p>
        </w:tc>
      </w:tr>
      <w:tr w14:paraId="29BA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53" w:type="dxa"/>
            <w:vAlign w:val="center"/>
          </w:tcPr>
          <w:p w14:paraId="5F8ADEFE">
            <w:pPr>
              <w:jc w:val="center"/>
              <w:rPr>
                <w:rFonts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Cs w:val="21"/>
                <w:highlight w:val="none"/>
              </w:rPr>
              <w:t>8</w:t>
            </w:r>
          </w:p>
        </w:tc>
        <w:tc>
          <w:tcPr>
            <w:tcW w:w="1900" w:type="dxa"/>
            <w:vAlign w:val="center"/>
          </w:tcPr>
          <w:p w14:paraId="3FDCFA6D">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供应商资格要求</w:t>
            </w:r>
          </w:p>
        </w:tc>
        <w:tc>
          <w:tcPr>
            <w:tcW w:w="7550" w:type="dxa"/>
            <w:vAlign w:val="center"/>
          </w:tcPr>
          <w:p w14:paraId="41F09ECF">
            <w:pPr>
              <w:spacing w:line="44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 xml:space="preserve">详见磋商公告               </w:t>
            </w:r>
          </w:p>
        </w:tc>
      </w:tr>
      <w:tr w14:paraId="6B98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53" w:type="dxa"/>
            <w:vAlign w:val="center"/>
          </w:tcPr>
          <w:p w14:paraId="3C4071F0">
            <w:pPr>
              <w:jc w:val="center"/>
              <w:rPr>
                <w:rFonts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Cs w:val="21"/>
                <w:highlight w:val="none"/>
              </w:rPr>
              <w:t>9</w:t>
            </w:r>
          </w:p>
        </w:tc>
        <w:tc>
          <w:tcPr>
            <w:tcW w:w="1900" w:type="dxa"/>
            <w:vAlign w:val="center"/>
          </w:tcPr>
          <w:p w14:paraId="1793A451">
            <w:pPr>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rPr>
              <w:t>响应文件要求</w:t>
            </w:r>
          </w:p>
        </w:tc>
        <w:tc>
          <w:tcPr>
            <w:tcW w:w="7550" w:type="dxa"/>
            <w:vAlign w:val="center"/>
          </w:tcPr>
          <w:p w14:paraId="1EB8AD38">
            <w:pPr>
              <w:pStyle w:val="37"/>
              <w:tabs>
                <w:tab w:val="left" w:pos="0"/>
                <w:tab w:val="clear" w:pos="744"/>
              </w:tabs>
              <w:spacing w:line="30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加密电子投标文件。</w:t>
            </w:r>
          </w:p>
        </w:tc>
      </w:tr>
      <w:tr w14:paraId="491B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753" w:type="dxa"/>
            <w:vAlign w:val="center"/>
          </w:tcPr>
          <w:p w14:paraId="72DEFB66">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Cs w:val="21"/>
                <w:highlight w:val="none"/>
              </w:rPr>
              <w:t>10</w:t>
            </w:r>
          </w:p>
        </w:tc>
        <w:tc>
          <w:tcPr>
            <w:tcW w:w="1900" w:type="dxa"/>
            <w:vAlign w:val="center"/>
          </w:tcPr>
          <w:p w14:paraId="010B2D86">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Cs w:val="21"/>
                <w:highlight w:val="none"/>
              </w:rPr>
              <w:t>响应文件递交地点</w:t>
            </w:r>
            <w:r>
              <w:rPr>
                <w:rFonts w:hint="eastAsia" w:asciiTheme="minorEastAsia" w:hAnsiTheme="minorEastAsia" w:eastAsiaTheme="minorEastAsia" w:cstheme="minorEastAsia"/>
                <w:szCs w:val="21"/>
                <w:highlight w:val="none"/>
                <w:lang w:eastAsia="zh-CN"/>
              </w:rPr>
              <w:t>及递交截止时间</w:t>
            </w:r>
          </w:p>
        </w:tc>
        <w:tc>
          <w:tcPr>
            <w:tcW w:w="7550" w:type="dxa"/>
            <w:vAlign w:val="center"/>
          </w:tcPr>
          <w:p w14:paraId="77EF5B34">
            <w:pPr>
              <w:pStyle w:val="37"/>
              <w:tabs>
                <w:tab w:val="left" w:pos="0"/>
                <w:tab w:val="clear" w:pos="744"/>
              </w:tabs>
              <w:spacing w:line="300" w:lineRule="auto"/>
              <w:rPr>
                <w:rFonts w:hint="eastAsia" w:asciiTheme="minorEastAsia" w:hAnsiTheme="minorEastAsia" w:eastAsiaTheme="minorEastAsia" w:cstheme="minorEastAsia"/>
                <w:kern w:val="0"/>
                <w:sz w:val="21"/>
                <w:szCs w:val="18"/>
                <w:highlight w:val="none"/>
              </w:rPr>
            </w:pPr>
            <w:r>
              <w:rPr>
                <w:rFonts w:hint="eastAsia" w:asciiTheme="minorEastAsia" w:hAnsiTheme="minorEastAsia" w:eastAsiaTheme="minorEastAsia" w:cstheme="minorEastAsia"/>
                <w:kern w:val="0"/>
                <w:sz w:val="21"/>
                <w:szCs w:val="18"/>
                <w:highlight w:val="none"/>
              </w:rPr>
              <w:t>截止时间：2024年</w:t>
            </w:r>
            <w:r>
              <w:rPr>
                <w:rFonts w:hint="eastAsia" w:asciiTheme="minorEastAsia" w:hAnsiTheme="minorEastAsia" w:eastAsiaTheme="minorEastAsia" w:cstheme="minorEastAsia"/>
                <w:kern w:val="0"/>
                <w:sz w:val="21"/>
                <w:szCs w:val="18"/>
                <w:highlight w:val="none"/>
                <w:lang w:val="en-US" w:eastAsia="zh-CN"/>
              </w:rPr>
              <w:t>8</w:t>
            </w:r>
            <w:r>
              <w:rPr>
                <w:rFonts w:hint="eastAsia" w:asciiTheme="minorEastAsia" w:hAnsiTheme="minorEastAsia" w:eastAsiaTheme="minorEastAsia" w:cstheme="minorEastAsia"/>
                <w:kern w:val="0"/>
                <w:sz w:val="21"/>
                <w:szCs w:val="18"/>
                <w:highlight w:val="none"/>
              </w:rPr>
              <w:t>月</w:t>
            </w:r>
            <w:r>
              <w:rPr>
                <w:rFonts w:hint="eastAsia" w:asciiTheme="minorEastAsia" w:hAnsiTheme="minorEastAsia" w:eastAsiaTheme="minorEastAsia" w:cstheme="minorEastAsia"/>
                <w:kern w:val="0"/>
                <w:sz w:val="21"/>
                <w:szCs w:val="18"/>
                <w:highlight w:val="none"/>
                <w:lang w:val="en-US" w:eastAsia="zh-CN"/>
              </w:rPr>
              <w:t>26</w:t>
            </w:r>
            <w:r>
              <w:rPr>
                <w:rFonts w:hint="eastAsia" w:asciiTheme="minorEastAsia" w:hAnsiTheme="minorEastAsia" w:eastAsiaTheme="minorEastAsia" w:cstheme="minorEastAsia"/>
                <w:kern w:val="0"/>
                <w:sz w:val="21"/>
                <w:szCs w:val="18"/>
                <w:highlight w:val="none"/>
              </w:rPr>
              <w:t>日10时00分（北京时间）</w:t>
            </w:r>
          </w:p>
          <w:p w14:paraId="076B0871">
            <w:pPr>
              <w:pStyle w:val="37"/>
              <w:tabs>
                <w:tab w:val="left" w:pos="0"/>
                <w:tab w:val="clear" w:pos="744"/>
              </w:tabs>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kern w:val="0"/>
                <w:sz w:val="21"/>
                <w:szCs w:val="18"/>
                <w:highlight w:val="none"/>
              </w:rPr>
              <w:t>递交地点：登录华采招标集团有限公司网站</w:t>
            </w:r>
            <w:r>
              <w:rPr>
                <w:rFonts w:hint="eastAsia" w:asciiTheme="minorEastAsia" w:hAnsiTheme="minorEastAsia" w:eastAsiaTheme="minorEastAsia" w:cstheme="minorEastAsia"/>
                <w:kern w:val="0"/>
                <w:sz w:val="21"/>
                <w:szCs w:val="18"/>
                <w:highlight w:val="none"/>
                <w:lang w:eastAsia="zh-CN"/>
              </w:rPr>
              <w:t>—供应商专区</w:t>
            </w:r>
            <w:r>
              <w:rPr>
                <w:rFonts w:hint="eastAsia" w:asciiTheme="minorEastAsia" w:hAnsiTheme="minorEastAsia" w:eastAsiaTheme="minorEastAsia" w:cstheme="minorEastAsia"/>
                <w:kern w:val="0"/>
                <w:sz w:val="21"/>
                <w:szCs w:val="18"/>
                <w:highlight w:val="none"/>
              </w:rPr>
              <w:t>（http://www.bjhczb.com/）</w:t>
            </w:r>
          </w:p>
        </w:tc>
      </w:tr>
      <w:tr w14:paraId="468A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753" w:type="dxa"/>
            <w:vAlign w:val="center"/>
          </w:tcPr>
          <w:p w14:paraId="257FC35D">
            <w:pPr>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1</w:t>
            </w:r>
          </w:p>
        </w:tc>
        <w:tc>
          <w:tcPr>
            <w:tcW w:w="1900" w:type="dxa"/>
            <w:vAlign w:val="center"/>
          </w:tcPr>
          <w:p w14:paraId="72C54D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rPr>
              <w:t>开标地点及时间</w:t>
            </w:r>
          </w:p>
        </w:tc>
        <w:tc>
          <w:tcPr>
            <w:tcW w:w="7550" w:type="dxa"/>
            <w:vAlign w:val="center"/>
          </w:tcPr>
          <w:p w14:paraId="4AA1449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21"/>
                <w:szCs w:val="21"/>
                <w:lang w:eastAsia="zh-CN"/>
              </w:rPr>
            </w:pPr>
            <w:r>
              <w:rPr>
                <w:rFonts w:hint="eastAsia"/>
                <w:sz w:val="21"/>
                <w:szCs w:val="21"/>
              </w:rPr>
              <w:t>开标地点：同</w:t>
            </w:r>
            <w:r>
              <w:rPr>
                <w:rFonts w:hint="eastAsia"/>
                <w:sz w:val="21"/>
                <w:szCs w:val="21"/>
                <w:lang w:eastAsia="zh-CN"/>
              </w:rPr>
              <w:t>响应</w:t>
            </w:r>
            <w:r>
              <w:rPr>
                <w:rFonts w:hint="eastAsia"/>
                <w:sz w:val="21"/>
                <w:szCs w:val="21"/>
              </w:rPr>
              <w:t>文件递交地点</w:t>
            </w:r>
            <w:r>
              <w:rPr>
                <w:rFonts w:hint="eastAsia"/>
                <w:sz w:val="21"/>
                <w:szCs w:val="21"/>
                <w:lang w:eastAsia="zh-CN"/>
              </w:rPr>
              <w:t>。</w:t>
            </w:r>
          </w:p>
          <w:p w14:paraId="32BAF24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sz w:val="21"/>
                <w:szCs w:val="21"/>
              </w:rPr>
              <w:t>开标时间：同</w:t>
            </w:r>
            <w:r>
              <w:rPr>
                <w:rFonts w:hint="eastAsia"/>
                <w:sz w:val="21"/>
                <w:szCs w:val="21"/>
                <w:lang w:eastAsia="zh-CN"/>
              </w:rPr>
              <w:t>响应文件</w:t>
            </w:r>
            <w:r>
              <w:rPr>
                <w:rFonts w:hint="eastAsia"/>
                <w:sz w:val="21"/>
                <w:szCs w:val="21"/>
              </w:rPr>
              <w:t>文件递交截止时间</w:t>
            </w:r>
            <w:r>
              <w:rPr>
                <w:rFonts w:hint="eastAsia"/>
                <w:sz w:val="21"/>
                <w:szCs w:val="21"/>
                <w:lang w:eastAsia="zh-CN"/>
              </w:rPr>
              <w:t>。</w:t>
            </w:r>
          </w:p>
        </w:tc>
      </w:tr>
      <w:tr w14:paraId="087C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53" w:type="dxa"/>
            <w:vAlign w:val="center"/>
          </w:tcPr>
          <w:p w14:paraId="02551D44">
            <w:pPr>
              <w:jc w:val="cente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12</w:t>
            </w:r>
          </w:p>
        </w:tc>
        <w:tc>
          <w:tcPr>
            <w:tcW w:w="1900" w:type="dxa"/>
            <w:vAlign w:val="center"/>
          </w:tcPr>
          <w:p w14:paraId="0668FE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磋商保证金</w:t>
            </w:r>
          </w:p>
        </w:tc>
        <w:tc>
          <w:tcPr>
            <w:tcW w:w="7550" w:type="dxa"/>
            <w:vAlign w:val="center"/>
          </w:tcPr>
          <w:p w14:paraId="6252411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本项目不收取。</w:t>
            </w:r>
          </w:p>
        </w:tc>
      </w:tr>
      <w:tr w14:paraId="68DC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53" w:type="dxa"/>
            <w:vAlign w:val="center"/>
          </w:tcPr>
          <w:p w14:paraId="64091947">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13</w:t>
            </w:r>
          </w:p>
        </w:tc>
        <w:tc>
          <w:tcPr>
            <w:tcW w:w="1900" w:type="dxa"/>
            <w:vAlign w:val="center"/>
          </w:tcPr>
          <w:p w14:paraId="6A56021E">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响应有效期</w:t>
            </w:r>
          </w:p>
        </w:tc>
        <w:tc>
          <w:tcPr>
            <w:tcW w:w="7550" w:type="dxa"/>
            <w:vAlign w:val="center"/>
          </w:tcPr>
          <w:p w14:paraId="24D5C47D">
            <w:pPr>
              <w:jc w:val="both"/>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zh-CN" w:eastAsia="zh-CN"/>
              </w:rPr>
              <w:t>自响应截止之日起</w:t>
            </w:r>
            <w:r>
              <w:rPr>
                <w:rFonts w:hint="eastAsia" w:asciiTheme="minorEastAsia" w:hAnsiTheme="minorEastAsia" w:eastAsiaTheme="minorEastAsia" w:cstheme="minorEastAsia"/>
                <w:szCs w:val="21"/>
                <w:highlight w:val="none"/>
                <w:lang w:val="en-US" w:eastAsia="zh-CN"/>
              </w:rPr>
              <w:t>9</w:t>
            </w:r>
            <w:r>
              <w:rPr>
                <w:rFonts w:hint="eastAsia" w:asciiTheme="minorEastAsia" w:hAnsiTheme="minorEastAsia" w:eastAsiaTheme="minorEastAsia" w:cstheme="minorEastAsia"/>
                <w:szCs w:val="21"/>
                <w:highlight w:val="none"/>
                <w:lang w:val="zh-CN" w:eastAsia="zh-CN"/>
              </w:rPr>
              <w:t>0日历天</w:t>
            </w:r>
          </w:p>
        </w:tc>
      </w:tr>
      <w:tr w14:paraId="6611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53" w:type="dxa"/>
            <w:vAlign w:val="center"/>
          </w:tcPr>
          <w:p w14:paraId="7BFA00E7">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Cs w:val="21"/>
                <w:highlight w:val="none"/>
              </w:rPr>
              <w:t>14</w:t>
            </w:r>
          </w:p>
        </w:tc>
        <w:tc>
          <w:tcPr>
            <w:tcW w:w="1900" w:type="dxa"/>
            <w:vAlign w:val="center"/>
          </w:tcPr>
          <w:p w14:paraId="7105A74E">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免费质保期</w:t>
            </w:r>
          </w:p>
        </w:tc>
        <w:tc>
          <w:tcPr>
            <w:tcW w:w="7550" w:type="dxa"/>
            <w:vAlign w:val="center"/>
          </w:tcPr>
          <w:p w14:paraId="36D63824">
            <w:pPr>
              <w:jc w:val="both"/>
              <w:rPr>
                <w:rFonts w:hint="eastAsia" w:asciiTheme="minorEastAsia" w:hAnsiTheme="minorEastAsia" w:eastAsiaTheme="minorEastAsia" w:cstheme="minorEastAsia"/>
                <w:szCs w:val="21"/>
                <w:highlight w:val="none"/>
                <w:lang w:val="zh-CN" w:eastAsia="zh-CN"/>
              </w:rPr>
            </w:pPr>
            <w:r>
              <w:rPr>
                <w:rFonts w:hint="eastAsia" w:asciiTheme="minorEastAsia" w:hAnsiTheme="minorEastAsia" w:eastAsiaTheme="minorEastAsia" w:cstheme="minorEastAsia"/>
                <w:szCs w:val="21"/>
                <w:highlight w:val="none"/>
                <w:lang w:val="zh-CN" w:eastAsia="zh-CN"/>
              </w:rPr>
              <w:t>验收合格之日起三年。</w:t>
            </w:r>
          </w:p>
        </w:tc>
      </w:tr>
      <w:tr w14:paraId="3EAD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53" w:type="dxa"/>
            <w:vAlign w:val="center"/>
          </w:tcPr>
          <w:p w14:paraId="47095EC6">
            <w:pPr>
              <w:jc w:val="center"/>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Cs w:val="21"/>
                <w:highlight w:val="none"/>
                <w:lang w:val="en-US" w:eastAsia="zh-CN"/>
              </w:rPr>
              <w:t>15</w:t>
            </w:r>
          </w:p>
        </w:tc>
        <w:tc>
          <w:tcPr>
            <w:tcW w:w="1900" w:type="dxa"/>
            <w:vAlign w:val="center"/>
          </w:tcPr>
          <w:p w14:paraId="7E621D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履约保证金</w:t>
            </w:r>
          </w:p>
        </w:tc>
        <w:tc>
          <w:tcPr>
            <w:tcW w:w="7550" w:type="dxa"/>
            <w:vAlign w:val="center"/>
          </w:tcPr>
          <w:p w14:paraId="0E2DEEC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kern w:val="2"/>
                <w:sz w:val="21"/>
                <w:szCs w:val="21"/>
                <w:highlight w:val="none"/>
                <w:lang w:val="en-US" w:eastAsia="zh-CN" w:bidi="ar-SA"/>
              </w:rPr>
            </w:pPr>
            <w:r>
              <w:rPr>
                <w:rFonts w:hint="eastAsia" w:asciiTheme="minorEastAsia" w:hAnsiTheme="minorEastAsia" w:eastAsiaTheme="minorEastAsia" w:cstheme="minorEastAsia"/>
                <w:szCs w:val="21"/>
                <w:highlight w:val="none"/>
                <w:lang w:eastAsia="zh-CN"/>
              </w:rPr>
              <w:t>本项目不收取。</w:t>
            </w:r>
          </w:p>
        </w:tc>
      </w:tr>
      <w:tr w14:paraId="3663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53" w:type="dxa"/>
            <w:vAlign w:val="center"/>
          </w:tcPr>
          <w:p w14:paraId="71B9340B">
            <w:pPr>
              <w:jc w:val="center"/>
              <w:rPr>
                <w:rFonts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Cs w:val="21"/>
                <w:highlight w:val="none"/>
              </w:rPr>
              <w:t>16</w:t>
            </w:r>
          </w:p>
        </w:tc>
        <w:tc>
          <w:tcPr>
            <w:tcW w:w="1900" w:type="dxa"/>
            <w:vAlign w:val="center"/>
          </w:tcPr>
          <w:p w14:paraId="4027F68C">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是否接受联合体</w:t>
            </w:r>
          </w:p>
          <w:p w14:paraId="5F0B458D">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响应</w:t>
            </w:r>
          </w:p>
        </w:tc>
        <w:tc>
          <w:tcPr>
            <w:tcW w:w="7550" w:type="dxa"/>
            <w:vAlign w:val="center"/>
          </w:tcPr>
          <w:p w14:paraId="2B352567">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不接受</w:t>
            </w:r>
          </w:p>
        </w:tc>
      </w:tr>
      <w:tr w14:paraId="1E53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53" w:type="dxa"/>
            <w:vAlign w:val="center"/>
          </w:tcPr>
          <w:p w14:paraId="12DC9854">
            <w:pPr>
              <w:jc w:val="center"/>
              <w:rPr>
                <w:rFonts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Cs w:val="21"/>
                <w:highlight w:val="none"/>
              </w:rPr>
              <w:t>17</w:t>
            </w:r>
          </w:p>
        </w:tc>
        <w:tc>
          <w:tcPr>
            <w:tcW w:w="1900" w:type="dxa"/>
            <w:vAlign w:val="center"/>
          </w:tcPr>
          <w:p w14:paraId="26A2A4CD">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踏勘现场</w:t>
            </w:r>
          </w:p>
        </w:tc>
        <w:tc>
          <w:tcPr>
            <w:tcW w:w="7550" w:type="dxa"/>
            <w:vAlign w:val="center"/>
          </w:tcPr>
          <w:p w14:paraId="05ACB711">
            <w:pPr>
              <w:pStyle w:val="24"/>
              <w:shd w:val="clear" w:color="auto" w:fill="FFFFFF"/>
              <w:spacing w:before="0" w:beforeAutospacing="0" w:after="0" w:afterAutospacing="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rPr>
              <w:t>不组织</w:t>
            </w:r>
          </w:p>
        </w:tc>
      </w:tr>
      <w:tr w14:paraId="5F2C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53" w:type="dxa"/>
            <w:vAlign w:val="center"/>
          </w:tcPr>
          <w:p w14:paraId="296031A7">
            <w:pPr>
              <w:jc w:val="center"/>
              <w:rPr>
                <w:rFonts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Cs w:val="21"/>
                <w:highlight w:val="none"/>
              </w:rPr>
              <w:t>18</w:t>
            </w:r>
          </w:p>
        </w:tc>
        <w:tc>
          <w:tcPr>
            <w:tcW w:w="1900" w:type="dxa"/>
            <w:vAlign w:val="center"/>
          </w:tcPr>
          <w:p w14:paraId="76B526AA">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响应预备会</w:t>
            </w:r>
          </w:p>
        </w:tc>
        <w:tc>
          <w:tcPr>
            <w:tcW w:w="7550" w:type="dxa"/>
            <w:vAlign w:val="center"/>
          </w:tcPr>
          <w:p w14:paraId="4AF9103A">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不召开</w:t>
            </w:r>
          </w:p>
        </w:tc>
      </w:tr>
      <w:tr w14:paraId="74FD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53" w:type="dxa"/>
            <w:vAlign w:val="center"/>
          </w:tcPr>
          <w:p w14:paraId="1C98C263">
            <w:pPr>
              <w:jc w:val="center"/>
              <w:rPr>
                <w:rFonts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Cs w:val="21"/>
                <w:highlight w:val="none"/>
              </w:rPr>
              <w:t>19</w:t>
            </w:r>
          </w:p>
        </w:tc>
        <w:tc>
          <w:tcPr>
            <w:tcW w:w="1900" w:type="dxa"/>
            <w:vAlign w:val="center"/>
          </w:tcPr>
          <w:p w14:paraId="320921BA">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对分包的要求</w:t>
            </w:r>
          </w:p>
        </w:tc>
        <w:tc>
          <w:tcPr>
            <w:tcW w:w="7550" w:type="dxa"/>
            <w:vAlign w:val="center"/>
          </w:tcPr>
          <w:p w14:paraId="0DC09951">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不允许</w:t>
            </w:r>
          </w:p>
        </w:tc>
      </w:tr>
      <w:tr w14:paraId="019C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53" w:type="dxa"/>
            <w:vAlign w:val="center"/>
          </w:tcPr>
          <w:p w14:paraId="6EB6B532">
            <w:pPr>
              <w:jc w:val="center"/>
              <w:rPr>
                <w:rFonts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Cs w:val="21"/>
                <w:highlight w:val="none"/>
              </w:rPr>
              <w:t>20</w:t>
            </w:r>
          </w:p>
        </w:tc>
        <w:tc>
          <w:tcPr>
            <w:tcW w:w="1900" w:type="dxa"/>
            <w:vAlign w:val="center"/>
          </w:tcPr>
          <w:p w14:paraId="7F1B9888">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供应商的替代方案</w:t>
            </w:r>
          </w:p>
        </w:tc>
        <w:tc>
          <w:tcPr>
            <w:tcW w:w="7550" w:type="dxa"/>
            <w:vAlign w:val="center"/>
          </w:tcPr>
          <w:p w14:paraId="4874EFB9">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不允许提交</w:t>
            </w:r>
          </w:p>
        </w:tc>
      </w:tr>
      <w:tr w14:paraId="375C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jc w:val="center"/>
        </w:trPr>
        <w:tc>
          <w:tcPr>
            <w:tcW w:w="753" w:type="dxa"/>
            <w:vAlign w:val="center"/>
          </w:tcPr>
          <w:p w14:paraId="77816EC0">
            <w:pPr>
              <w:jc w:val="center"/>
              <w:rPr>
                <w:rFonts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Cs w:val="21"/>
                <w:highlight w:val="none"/>
              </w:rPr>
              <w:t>21</w:t>
            </w:r>
          </w:p>
        </w:tc>
        <w:tc>
          <w:tcPr>
            <w:tcW w:w="1900" w:type="dxa"/>
            <w:vAlign w:val="center"/>
          </w:tcPr>
          <w:p w14:paraId="2B9D5CB0">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供应商提出问题的递交方式、截止时间</w:t>
            </w:r>
          </w:p>
        </w:tc>
        <w:tc>
          <w:tcPr>
            <w:tcW w:w="7550" w:type="dxa"/>
            <w:vAlign w:val="center"/>
          </w:tcPr>
          <w:p w14:paraId="617817EC">
            <w:pPr>
              <w:spacing w:line="500" w:lineRule="atLeas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响应异议时间：</w:t>
            </w:r>
            <w:r>
              <w:rPr>
                <w:rFonts w:hint="eastAsia" w:asciiTheme="minorEastAsia" w:hAnsiTheme="minorEastAsia" w:eastAsiaTheme="minorEastAsia" w:cstheme="minorEastAsia"/>
                <w:szCs w:val="21"/>
                <w:highlight w:val="none"/>
                <w:lang w:val="en-US" w:eastAsia="zh-CN"/>
              </w:rPr>
              <w:t>2024年08月18日17:00</w:t>
            </w:r>
            <w:r>
              <w:rPr>
                <w:rFonts w:hint="eastAsia" w:asciiTheme="minorEastAsia" w:hAnsiTheme="minorEastAsia" w:eastAsiaTheme="minorEastAsia" w:cstheme="minorEastAsia"/>
                <w:szCs w:val="21"/>
                <w:highlight w:val="none"/>
              </w:rPr>
              <w:t>前；</w:t>
            </w:r>
          </w:p>
          <w:p w14:paraId="6A55CAC8">
            <w:pPr>
              <w:spacing w:line="500" w:lineRule="atLeas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接受异议的电子邮箱：</w:t>
            </w:r>
            <w:r>
              <w:rPr>
                <w:rFonts w:hint="eastAsia" w:ascii="宋体" w:hAnsi="宋体" w:cs="宋体"/>
                <w:b/>
                <w:highlight w:val="none"/>
                <w:u w:val="single"/>
              </w:rPr>
              <w:t>bjhczhbdlyxgs@163.com</w:t>
            </w:r>
          </w:p>
          <w:p w14:paraId="6E49201B">
            <w:pPr>
              <w:spacing w:line="500" w:lineRule="atLeas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磋商文件的</w:t>
            </w:r>
            <w:r>
              <w:rPr>
                <w:rFonts w:hint="eastAsia" w:asciiTheme="minorEastAsia" w:hAnsiTheme="minorEastAsia" w:eastAsiaTheme="minorEastAsia" w:cstheme="minorEastAsia"/>
                <w:szCs w:val="21"/>
                <w:highlight w:val="none"/>
                <w:lang w:val="zh-CN"/>
              </w:rPr>
              <w:t>答复内容及</w:t>
            </w:r>
            <w:r>
              <w:rPr>
                <w:rFonts w:hint="eastAsia" w:asciiTheme="minorEastAsia" w:hAnsiTheme="minorEastAsia" w:eastAsiaTheme="minorEastAsia" w:cstheme="minorEastAsia"/>
                <w:szCs w:val="21"/>
                <w:highlight w:val="none"/>
              </w:rPr>
              <w:t>澄清、修改将在</w:t>
            </w:r>
            <w:r>
              <w:rPr>
                <w:rFonts w:hint="eastAsia" w:asciiTheme="minorEastAsia" w:hAnsiTheme="minorEastAsia" w:eastAsiaTheme="minorEastAsia" w:cstheme="minorEastAsia"/>
                <w:b/>
                <w:bCs/>
                <w:szCs w:val="21"/>
                <w:highlight w:val="none"/>
              </w:rPr>
              <w:t>巢湖学院官网（https://www.chu.edu.cn/）</w:t>
            </w:r>
            <w:r>
              <w:rPr>
                <w:rFonts w:hint="eastAsia" w:asciiTheme="minorEastAsia" w:hAnsiTheme="minorEastAsia" w:eastAsiaTheme="minorEastAsia" w:cstheme="minorEastAsia"/>
                <w:b/>
                <w:bCs/>
                <w:szCs w:val="21"/>
                <w:highlight w:val="none"/>
                <w:lang w:eastAsia="zh-CN"/>
              </w:rPr>
              <w:t>、安徽省招标投标信息网（http://www.ahtba.org.cn/）以及华采招标集团有限公司网站（http://www.bjhczb.com/）</w:t>
            </w:r>
            <w:r>
              <w:rPr>
                <w:rFonts w:hint="eastAsia" w:asciiTheme="minorEastAsia" w:hAnsiTheme="minorEastAsia" w:eastAsiaTheme="minorEastAsia" w:cstheme="minorEastAsia"/>
                <w:szCs w:val="21"/>
                <w:highlight w:val="none"/>
              </w:rPr>
              <w:t>发布。</w:t>
            </w:r>
            <w:r>
              <w:rPr>
                <w:rFonts w:hint="eastAsia" w:asciiTheme="minorEastAsia" w:hAnsiTheme="minorEastAsia" w:eastAsiaTheme="minorEastAsia" w:cstheme="minorEastAsia"/>
                <w:szCs w:val="21"/>
                <w:highlight w:val="none"/>
                <w:lang w:val="zh-CN"/>
              </w:rPr>
              <w:t>答复内容及澄清或修改内容为磋商文件的组成部分，对供应商具有同样约束力效力。</w:t>
            </w:r>
            <w:r>
              <w:rPr>
                <w:rFonts w:hint="eastAsia" w:asciiTheme="minorEastAsia" w:hAnsiTheme="minorEastAsia" w:eastAsiaTheme="minorEastAsia" w:cstheme="minorEastAsia"/>
                <w:szCs w:val="21"/>
                <w:highlight w:val="none"/>
              </w:rPr>
              <w:t>所有潜在供应商自行在网上查询查看，无需以书面形式回复。采购代理机构将不再另行通知各供应商。供应商对磋商文件的澄清、修改未能及时查询的，由此引起的一切责任均由供应商自行负责。</w:t>
            </w:r>
          </w:p>
        </w:tc>
      </w:tr>
      <w:tr w14:paraId="7F6D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vAlign w:val="center"/>
          </w:tcPr>
          <w:p w14:paraId="1517B421">
            <w:pPr>
              <w:jc w:val="center"/>
              <w:rPr>
                <w:rFonts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Cs w:val="21"/>
                <w:highlight w:val="none"/>
              </w:rPr>
              <w:t>22</w:t>
            </w:r>
          </w:p>
        </w:tc>
        <w:tc>
          <w:tcPr>
            <w:tcW w:w="1900" w:type="dxa"/>
            <w:vAlign w:val="center"/>
          </w:tcPr>
          <w:p w14:paraId="357BF5A2">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代理服务费用</w:t>
            </w:r>
          </w:p>
        </w:tc>
        <w:tc>
          <w:tcPr>
            <w:tcW w:w="7550" w:type="dxa"/>
            <w:vAlign w:val="center"/>
          </w:tcPr>
          <w:p w14:paraId="697BB4FB">
            <w:pPr>
              <w:spacing w:line="48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eastAsia="zh-CN"/>
              </w:rPr>
              <w:t>每包的</w:t>
            </w:r>
            <w:r>
              <w:rPr>
                <w:rFonts w:hint="eastAsia" w:asciiTheme="minorEastAsia" w:hAnsiTheme="minorEastAsia" w:eastAsiaTheme="minorEastAsia" w:cstheme="minorEastAsia"/>
                <w:szCs w:val="21"/>
                <w:highlight w:val="none"/>
              </w:rPr>
              <w:t>成交供应商</w:t>
            </w:r>
            <w:r>
              <w:rPr>
                <w:rFonts w:hint="eastAsia" w:asciiTheme="minorEastAsia" w:hAnsiTheme="minorEastAsia" w:eastAsiaTheme="minorEastAsia" w:cstheme="minorEastAsia"/>
                <w:szCs w:val="21"/>
                <w:highlight w:val="none"/>
                <w:lang w:eastAsia="zh-CN"/>
              </w:rPr>
              <w:t>按照合肥市物价局（合价服[2009]216号）文件定标准的80%交纳代理服务费，计算后每包金额不足5000元的，按每包5000元保底计取。</w:t>
            </w:r>
            <w:r>
              <w:rPr>
                <w:rFonts w:hint="eastAsia" w:asciiTheme="minorEastAsia" w:hAnsiTheme="minorEastAsia" w:eastAsiaTheme="minorEastAsia" w:cstheme="minorEastAsia"/>
                <w:szCs w:val="21"/>
                <w:highlight w:val="none"/>
              </w:rPr>
              <w:t>上述费用由</w:t>
            </w:r>
            <w:r>
              <w:rPr>
                <w:rFonts w:hint="eastAsia" w:asciiTheme="minorEastAsia" w:hAnsiTheme="minorEastAsia" w:eastAsiaTheme="minorEastAsia" w:cstheme="minorEastAsia"/>
                <w:szCs w:val="21"/>
                <w:highlight w:val="none"/>
                <w:lang w:eastAsia="zh-CN"/>
              </w:rPr>
              <w:t>每包</w:t>
            </w:r>
            <w:r>
              <w:rPr>
                <w:rFonts w:hint="eastAsia" w:asciiTheme="minorEastAsia" w:hAnsiTheme="minorEastAsia" w:eastAsiaTheme="minorEastAsia" w:cstheme="minorEastAsia"/>
                <w:szCs w:val="21"/>
                <w:highlight w:val="none"/>
              </w:rPr>
              <w:t>成交供应商支付，投标供应商在其投标报价时请考虑上述相关费用。</w:t>
            </w:r>
          </w:p>
        </w:tc>
      </w:tr>
      <w:tr w14:paraId="150E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53" w:type="dxa"/>
            <w:vAlign w:val="center"/>
          </w:tcPr>
          <w:p w14:paraId="5CFA84BD">
            <w:pPr>
              <w:jc w:val="center"/>
              <w:rPr>
                <w:rFonts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Cs w:val="21"/>
                <w:highlight w:val="none"/>
              </w:rPr>
              <w:t>23</w:t>
            </w:r>
          </w:p>
        </w:tc>
        <w:tc>
          <w:tcPr>
            <w:tcW w:w="1900" w:type="dxa"/>
            <w:vAlign w:val="center"/>
          </w:tcPr>
          <w:p w14:paraId="680D074D">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磋商办法</w:t>
            </w:r>
          </w:p>
        </w:tc>
        <w:tc>
          <w:tcPr>
            <w:tcW w:w="7550" w:type="dxa"/>
            <w:vAlign w:val="center"/>
          </w:tcPr>
          <w:p w14:paraId="123CF18E">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综合评分法</w:t>
            </w:r>
          </w:p>
        </w:tc>
      </w:tr>
      <w:tr w14:paraId="346A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53" w:type="dxa"/>
            <w:vAlign w:val="center"/>
          </w:tcPr>
          <w:p w14:paraId="2E6EBFA3">
            <w:pPr>
              <w:jc w:val="center"/>
              <w:rPr>
                <w:rFonts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Cs w:val="21"/>
                <w:highlight w:val="none"/>
              </w:rPr>
              <w:t>24</w:t>
            </w:r>
          </w:p>
        </w:tc>
        <w:tc>
          <w:tcPr>
            <w:tcW w:w="1900" w:type="dxa"/>
            <w:vAlign w:val="center"/>
          </w:tcPr>
          <w:p w14:paraId="4C43B99F">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资格审查方式</w:t>
            </w:r>
          </w:p>
        </w:tc>
        <w:tc>
          <w:tcPr>
            <w:tcW w:w="7550" w:type="dxa"/>
            <w:vAlign w:val="center"/>
          </w:tcPr>
          <w:p w14:paraId="26F2233B">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资格后审</w:t>
            </w:r>
          </w:p>
        </w:tc>
      </w:tr>
      <w:tr w14:paraId="70A9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53" w:type="dxa"/>
            <w:vAlign w:val="center"/>
          </w:tcPr>
          <w:p w14:paraId="52D1E9BF">
            <w:pPr>
              <w:jc w:val="center"/>
              <w:rPr>
                <w:rFonts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Cs w:val="21"/>
                <w:highlight w:val="none"/>
              </w:rPr>
              <w:t>25</w:t>
            </w:r>
          </w:p>
        </w:tc>
        <w:tc>
          <w:tcPr>
            <w:tcW w:w="1900" w:type="dxa"/>
            <w:vAlign w:val="center"/>
          </w:tcPr>
          <w:p w14:paraId="1376DCC7">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付款方式</w:t>
            </w:r>
          </w:p>
        </w:tc>
        <w:tc>
          <w:tcPr>
            <w:tcW w:w="7550" w:type="dxa"/>
            <w:vAlign w:val="center"/>
          </w:tcPr>
          <w:p w14:paraId="544CA7C4">
            <w:pPr>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平台部署完成验收合格后7个工作日内支付。</w:t>
            </w:r>
          </w:p>
        </w:tc>
      </w:tr>
      <w:tr w14:paraId="2520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53" w:type="dxa"/>
            <w:vAlign w:val="center"/>
          </w:tcPr>
          <w:p w14:paraId="2C89913B">
            <w:pPr>
              <w:jc w:val="center"/>
              <w:rPr>
                <w:rFonts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Cs w:val="21"/>
                <w:highlight w:val="none"/>
              </w:rPr>
              <w:t>26</w:t>
            </w:r>
          </w:p>
        </w:tc>
        <w:tc>
          <w:tcPr>
            <w:tcW w:w="1900" w:type="dxa"/>
            <w:vAlign w:val="center"/>
          </w:tcPr>
          <w:p w14:paraId="651C18CE">
            <w:pPr>
              <w:spacing w:line="380" w:lineRule="exact"/>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szCs w:val="21"/>
                <w:highlight w:val="none"/>
              </w:rPr>
              <w:t>供应商参加磋商会议的要求</w:t>
            </w:r>
          </w:p>
        </w:tc>
        <w:tc>
          <w:tcPr>
            <w:tcW w:w="7550" w:type="dxa"/>
            <w:vAlign w:val="center"/>
          </w:tcPr>
          <w:p w14:paraId="2A7CBE05">
            <w:pPr>
              <w:pStyle w:val="38"/>
              <w:numPr>
                <w:ilvl w:val="0"/>
                <w:numId w:val="0"/>
              </w:numPr>
              <w:shd w:val="clear" w:color="auto" w:fill="FFFFFF"/>
              <w:snapToGrid w:val="0"/>
              <w:spacing w:line="420" w:lineRule="exact"/>
              <w:ind w:leftChars="0"/>
              <w:rPr>
                <w:rFonts w:hint="eastAsia" w:asciiTheme="minorEastAsia" w:hAnsiTheme="minorEastAsia" w:eastAsiaTheme="minorEastAsia" w:cstheme="minorEastAsia"/>
                <w:b/>
                <w:bCs/>
                <w:szCs w:val="21"/>
                <w:highlight w:val="none"/>
                <w:lang w:val="en-US" w:eastAsia="zh-CN"/>
              </w:rPr>
            </w:pPr>
            <w:r>
              <w:rPr>
                <w:rFonts w:hint="eastAsia" w:asciiTheme="minorEastAsia" w:hAnsiTheme="minorEastAsia" w:eastAsiaTheme="minorEastAsia" w:cstheme="minorEastAsia"/>
                <w:b/>
                <w:bCs/>
                <w:szCs w:val="21"/>
                <w:highlight w:val="none"/>
                <w:lang w:val="en-US" w:eastAsia="zh-CN"/>
              </w:rPr>
              <w:t>/</w:t>
            </w:r>
          </w:p>
        </w:tc>
      </w:tr>
      <w:tr w14:paraId="18A5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9" w:hRule="atLeast"/>
          <w:jc w:val="center"/>
        </w:trPr>
        <w:tc>
          <w:tcPr>
            <w:tcW w:w="753" w:type="dxa"/>
            <w:vAlign w:val="center"/>
          </w:tcPr>
          <w:p w14:paraId="5507FF27">
            <w:pPr>
              <w:jc w:val="center"/>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27</w:t>
            </w:r>
          </w:p>
        </w:tc>
        <w:tc>
          <w:tcPr>
            <w:tcW w:w="1900" w:type="dxa"/>
            <w:vAlign w:val="center"/>
          </w:tcPr>
          <w:p w14:paraId="70230A30">
            <w:pPr>
              <w:shd w:val="clear" w:color="auto" w:fill="FFFFFF"/>
              <w:snapToGrid w:val="0"/>
              <w:spacing w:line="420" w:lineRule="exact"/>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Cs/>
                <w:szCs w:val="21"/>
                <w:highlight w:val="none"/>
              </w:rPr>
              <w:t>废标条款</w:t>
            </w:r>
          </w:p>
        </w:tc>
        <w:tc>
          <w:tcPr>
            <w:tcW w:w="7550" w:type="dxa"/>
            <w:vAlign w:val="center"/>
          </w:tcPr>
          <w:p w14:paraId="073C702C">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textAlignment w:val="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废标条款：</w:t>
            </w:r>
          </w:p>
          <w:p w14:paraId="69A6B196">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1）串通响应或弄虚作假或有其他违法行为的。</w:t>
            </w:r>
          </w:p>
          <w:p w14:paraId="762CF81E">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串通响应行为是指：</w:t>
            </w:r>
          </w:p>
          <w:p w14:paraId="5731D8B8">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（a）不同供应商委托同一人响应；</w:t>
            </w:r>
          </w:p>
          <w:p w14:paraId="287260D7">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（b）不同供应商的响应文件载明的项目管理班子成员出现同一人的；</w:t>
            </w:r>
          </w:p>
          <w:p w14:paraId="030D5BE0">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（c）不同供应商的响应文件相互混装的；</w:t>
            </w:r>
          </w:p>
          <w:p w14:paraId="084D3366">
            <w:pPr>
              <w:keepNext w:val="0"/>
              <w:keepLines w:val="0"/>
              <w:pageBreakBefore w:val="0"/>
              <w:widowControl w:val="0"/>
              <w:tabs>
                <w:tab w:val="left" w:pos="900"/>
              </w:tabs>
              <w:kinsoku/>
              <w:wordWrap/>
              <w:overflowPunct/>
              <w:topLinePunct w:val="0"/>
              <w:autoSpaceDE/>
              <w:autoSpaceDN/>
              <w:bidi w:val="0"/>
              <w:adjustRightInd/>
              <w:spacing w:line="400" w:lineRule="exact"/>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2）供应商在一份响应文件中对同一招标项目报有两个或多个报价的，且未书面声明以哪个报价为准。</w:t>
            </w:r>
          </w:p>
          <w:p w14:paraId="240E6867">
            <w:pPr>
              <w:keepNext w:val="0"/>
              <w:keepLines w:val="0"/>
              <w:pageBreakBefore w:val="0"/>
              <w:widowControl w:val="0"/>
              <w:tabs>
                <w:tab w:val="left" w:pos="900"/>
              </w:tabs>
              <w:kinsoku/>
              <w:wordWrap/>
              <w:overflowPunct/>
              <w:topLinePunct w:val="0"/>
              <w:autoSpaceDE/>
              <w:autoSpaceDN/>
              <w:bidi w:val="0"/>
              <w:adjustRightInd/>
              <w:spacing w:line="400" w:lineRule="exact"/>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）被行业主管部门取消响应资格并在处罚期内的；</w:t>
            </w:r>
          </w:p>
          <w:p w14:paraId="4034F3D1">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）不按磋商小组要求澄清、说明或补正的。</w:t>
            </w:r>
          </w:p>
          <w:p w14:paraId="0334412F">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）响应文件中的报价单及其它内容相应位置处没有</w:t>
            </w:r>
            <w:r>
              <w:rPr>
                <w:rFonts w:hint="eastAsia" w:asciiTheme="minorEastAsia" w:hAnsiTheme="minorEastAsia" w:eastAsiaTheme="minorEastAsia" w:cstheme="minorEastAsia"/>
                <w:szCs w:val="21"/>
                <w:highlight w:val="none"/>
                <w:lang w:eastAsia="zh-CN"/>
              </w:rPr>
              <w:t>按要求签</w:t>
            </w:r>
            <w:r>
              <w:rPr>
                <w:rFonts w:hint="eastAsia" w:asciiTheme="minorEastAsia" w:hAnsiTheme="minorEastAsia" w:eastAsiaTheme="minorEastAsia" w:cstheme="minorEastAsia"/>
                <w:szCs w:val="21"/>
                <w:highlight w:val="none"/>
              </w:rPr>
              <w:t>章的。</w:t>
            </w:r>
          </w:p>
          <w:p w14:paraId="0A7BDD9B">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）响应文件中响应报价或其它实质性要求不能满足磋商文件要求,或作出的承诺与磋商文件中提供的响应函样本中相关内容相抵触或有遗漏的。</w:t>
            </w:r>
          </w:p>
          <w:p w14:paraId="2030AAEB">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7</w:t>
            </w:r>
            <w:r>
              <w:rPr>
                <w:rFonts w:hint="eastAsia" w:asciiTheme="minorEastAsia" w:hAnsiTheme="minorEastAsia" w:eastAsiaTheme="minorEastAsia" w:cstheme="minorEastAsia"/>
                <w:szCs w:val="21"/>
                <w:highlight w:val="none"/>
              </w:rPr>
              <w:t>）未按规定的格式填写，实质性内容不全或无法辨认的。</w:t>
            </w:r>
          </w:p>
          <w:p w14:paraId="0331206D">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rPr>
              <w:t>）响应文件对采购人提供的需求清单单项无报价或零报价的。</w:t>
            </w:r>
          </w:p>
          <w:p w14:paraId="31C13B7D">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9</w:t>
            </w:r>
            <w:r>
              <w:rPr>
                <w:rFonts w:hint="eastAsia" w:asciiTheme="minorEastAsia" w:hAnsiTheme="minorEastAsia" w:eastAsiaTheme="minorEastAsia" w:cstheme="minorEastAsia"/>
                <w:szCs w:val="21"/>
                <w:highlight w:val="none"/>
              </w:rPr>
              <w:t>）响应文件中存在采购人不能接受的其它实质性条件。</w:t>
            </w:r>
          </w:p>
          <w:p w14:paraId="1853481E">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szCs w:val="21"/>
                <w:highlight w:val="none"/>
                <w:lang w:val="en-US" w:eastAsia="zh-CN"/>
              </w:rPr>
              <w:t>0</w:t>
            </w:r>
            <w:r>
              <w:rPr>
                <w:rFonts w:hint="eastAsia" w:asciiTheme="minorEastAsia" w:hAnsiTheme="minorEastAsia" w:eastAsiaTheme="minorEastAsia" w:cstheme="minorEastAsia"/>
                <w:szCs w:val="21"/>
                <w:highlight w:val="none"/>
              </w:rPr>
              <w:t>）法律、法规规定的其它情形。</w:t>
            </w:r>
          </w:p>
        </w:tc>
      </w:tr>
    </w:tbl>
    <w:p w14:paraId="6288A5D8">
      <w:pPr>
        <w:rPr>
          <w:rFonts w:asciiTheme="minorEastAsia" w:hAnsiTheme="minorEastAsia" w:eastAsiaTheme="minorEastAsia" w:cstheme="minorEastAsia"/>
          <w:sz w:val="28"/>
          <w:szCs w:val="28"/>
          <w:highlight w:val="none"/>
        </w:rPr>
      </w:pPr>
      <w:bookmarkStart w:id="41" w:name="_Hlt509650126"/>
      <w:bookmarkEnd w:id="41"/>
      <w:bookmarkStart w:id="42" w:name="_Hlt509649722"/>
      <w:bookmarkEnd w:id="42"/>
      <w:bookmarkStart w:id="43" w:name="_Hlt509650955"/>
      <w:bookmarkEnd w:id="43"/>
      <w:bookmarkStart w:id="44" w:name="_Hlt509649998"/>
      <w:bookmarkEnd w:id="44"/>
      <w:bookmarkStart w:id="45" w:name="_Hlt526418143"/>
      <w:bookmarkEnd w:id="45"/>
      <w:bookmarkStart w:id="46" w:name="_Hlt509650686"/>
      <w:bookmarkEnd w:id="46"/>
      <w:r>
        <w:rPr>
          <w:rFonts w:hint="eastAsia" w:asciiTheme="minorEastAsia" w:hAnsiTheme="minorEastAsia" w:eastAsiaTheme="minorEastAsia" w:cstheme="minorEastAsia"/>
          <w:sz w:val="28"/>
          <w:szCs w:val="28"/>
          <w:highlight w:val="none"/>
        </w:rPr>
        <w:br w:type="page"/>
      </w:r>
    </w:p>
    <w:p w14:paraId="70DC6CD5">
      <w:pPr>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二、供应商须知</w:t>
      </w:r>
    </w:p>
    <w:p w14:paraId="1A59F0A6">
      <w:pPr>
        <w:pStyle w:val="4"/>
        <w:spacing w:before="20" w:after="20" w:line="360" w:lineRule="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1．总  则</w:t>
      </w:r>
    </w:p>
    <w:p w14:paraId="637AEE55">
      <w:pPr>
        <w:spacing w:line="440" w:lineRule="exac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 xml:space="preserve"> 1.1项目概况</w:t>
      </w:r>
    </w:p>
    <w:p w14:paraId="4782D9E6">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1.1.1根据有关法律、法规和规章的规定，本采购项目已具备招标条件，现对本项目进行磋商。</w:t>
      </w:r>
    </w:p>
    <w:p w14:paraId="022F9489">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1.1.2本采购项目采购人：见供应商须知前附表。</w:t>
      </w:r>
    </w:p>
    <w:p w14:paraId="5D9DFC23">
      <w:pPr>
        <w:spacing w:line="440" w:lineRule="exac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t xml:space="preserve">    1.1.3本采购项目名称：见供应商须知前附表。</w:t>
      </w:r>
    </w:p>
    <w:p w14:paraId="63AB37A5">
      <w:pPr>
        <w:spacing w:line="440" w:lineRule="exact"/>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rPr>
        <w:t xml:space="preserve">    1.1.4本采购项目服务地点：巢湖学院，采购人指定地点</w:t>
      </w:r>
      <w:r>
        <w:rPr>
          <w:rFonts w:hint="eastAsia" w:asciiTheme="minorEastAsia" w:hAnsiTheme="minorEastAsia" w:eastAsiaTheme="minorEastAsia" w:cstheme="minorEastAsia"/>
          <w:szCs w:val="21"/>
          <w:highlight w:val="none"/>
          <w:lang w:eastAsia="zh-CN"/>
        </w:rPr>
        <w:t>。</w:t>
      </w:r>
    </w:p>
    <w:p w14:paraId="2236D77F">
      <w:pPr>
        <w:spacing w:line="440" w:lineRule="exact"/>
        <w:ind w:firstLine="316" w:firstLineChars="150"/>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 xml:space="preserve"> 1.2资金来源和落实情况</w:t>
      </w:r>
    </w:p>
    <w:p w14:paraId="6064EAAE">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1.2.1本采购项目的资金来源：</w:t>
      </w:r>
      <w:r>
        <w:rPr>
          <w:rFonts w:hint="eastAsia" w:asciiTheme="minorEastAsia" w:hAnsiTheme="minorEastAsia" w:eastAsiaTheme="minorEastAsia" w:cstheme="minorEastAsia"/>
          <w:szCs w:val="21"/>
          <w:highlight w:val="none"/>
          <w:lang w:val="en-US" w:eastAsia="zh-CN"/>
        </w:rPr>
        <w:t>自筹资金</w:t>
      </w:r>
      <w:r>
        <w:rPr>
          <w:rFonts w:hint="eastAsia" w:asciiTheme="minorEastAsia" w:hAnsiTheme="minorEastAsia" w:eastAsiaTheme="minorEastAsia" w:cstheme="minorEastAsia"/>
          <w:szCs w:val="21"/>
          <w:highlight w:val="none"/>
        </w:rPr>
        <w:t>。</w:t>
      </w:r>
    </w:p>
    <w:p w14:paraId="22D96CA6">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1.2.2本采购项目的资金落实情况：已落实。</w:t>
      </w:r>
    </w:p>
    <w:p w14:paraId="076A4DE7">
      <w:pPr>
        <w:spacing w:line="440" w:lineRule="exact"/>
        <w:ind w:firstLine="422" w:firstLineChars="200"/>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1.3采购范围、最高响应上限、标包、</w:t>
      </w:r>
      <w:r>
        <w:rPr>
          <w:rFonts w:hint="eastAsia" w:asciiTheme="minorEastAsia" w:hAnsiTheme="minorEastAsia" w:eastAsiaTheme="minorEastAsia" w:cstheme="minorEastAsia"/>
          <w:b/>
          <w:szCs w:val="21"/>
          <w:highlight w:val="none"/>
          <w:lang w:eastAsia="zh-CN"/>
        </w:rPr>
        <w:t>服务期限</w:t>
      </w:r>
      <w:r>
        <w:rPr>
          <w:rFonts w:hint="eastAsia" w:asciiTheme="minorEastAsia" w:hAnsiTheme="minorEastAsia" w:eastAsiaTheme="minorEastAsia" w:cstheme="minorEastAsia"/>
          <w:b/>
          <w:szCs w:val="21"/>
          <w:highlight w:val="none"/>
        </w:rPr>
        <w:t>和质量要求</w:t>
      </w:r>
    </w:p>
    <w:p w14:paraId="464EB54D">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1.3.1本次采购范围：见供应商须知前附表。</w:t>
      </w:r>
    </w:p>
    <w:p w14:paraId="35581E2F">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1.3.2最高响应上限：见供应商须知前附表说明。</w:t>
      </w:r>
    </w:p>
    <w:p w14:paraId="7E998334">
      <w:pPr>
        <w:spacing w:line="440" w:lineRule="exact"/>
        <w:ind w:firstLine="315" w:firstLineChars="15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1.3.3 本采购项目的标包划分：见供应商须知前附表。</w:t>
      </w:r>
    </w:p>
    <w:p w14:paraId="19AB0BD7">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1.3.4 本采购项目的</w:t>
      </w:r>
      <w:r>
        <w:rPr>
          <w:rFonts w:hint="eastAsia" w:asciiTheme="minorEastAsia" w:hAnsiTheme="minorEastAsia" w:eastAsiaTheme="minorEastAsia" w:cstheme="minorEastAsia"/>
          <w:szCs w:val="21"/>
          <w:highlight w:val="none"/>
          <w:lang w:eastAsia="zh-CN"/>
        </w:rPr>
        <w:t>服务期限</w:t>
      </w:r>
      <w:r>
        <w:rPr>
          <w:rFonts w:hint="eastAsia" w:asciiTheme="minorEastAsia" w:hAnsiTheme="minorEastAsia" w:eastAsiaTheme="minorEastAsia" w:cstheme="minorEastAsia"/>
          <w:szCs w:val="21"/>
          <w:highlight w:val="none"/>
        </w:rPr>
        <w:t>：见供应商须知前附表。</w:t>
      </w:r>
    </w:p>
    <w:p w14:paraId="7DE36859">
      <w:pPr>
        <w:spacing w:line="44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1.3.5 本采购项目的质量要求：见供应商须知前附表。</w:t>
      </w:r>
    </w:p>
    <w:p w14:paraId="23E6F11F">
      <w:pPr>
        <w:spacing w:line="440" w:lineRule="exact"/>
        <w:ind w:firstLine="422" w:firstLineChars="200"/>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1.4供应商资格要求</w:t>
      </w:r>
    </w:p>
    <w:p w14:paraId="7A7C0296">
      <w:pPr>
        <w:spacing w:line="440" w:lineRule="exact"/>
        <w:ind w:firstLine="315" w:firstLineChars="15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1.4.1 本项目资格、能力及信誉：见供应商须知前附表。</w:t>
      </w:r>
    </w:p>
    <w:p w14:paraId="3714921E">
      <w:pPr>
        <w:spacing w:line="440" w:lineRule="exact"/>
        <w:ind w:firstLine="426" w:firstLineChars="203"/>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1.4.2本项目是否接受联合体：见供应商须知前附表。</w:t>
      </w:r>
    </w:p>
    <w:p w14:paraId="110BDEBF">
      <w:pPr>
        <w:spacing w:line="440" w:lineRule="exact"/>
        <w:ind w:firstLine="474" w:firstLineChars="225"/>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rPr>
        <w:t>1.5费用承担</w:t>
      </w:r>
    </w:p>
    <w:p w14:paraId="2250C23F">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供应商是否愿意参与本次响应活动完全是自主决定的，应自行承担与参加本次响应活动有关的一切费用。不论响应的结果如何，在任何情况下，采购人均无义务和责任承担这些费用。</w:t>
      </w:r>
    </w:p>
    <w:p w14:paraId="6A340FEB">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供应商应承担下述费用：供应商准备和参加响应活动发生的一切费用。</w:t>
      </w:r>
    </w:p>
    <w:p w14:paraId="5450941A">
      <w:pPr>
        <w:spacing w:line="440" w:lineRule="exact"/>
        <w:ind w:firstLine="474" w:firstLineChars="225"/>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rPr>
        <w:t>1.6保密</w:t>
      </w:r>
    </w:p>
    <w:p w14:paraId="53916FAD">
      <w:pPr>
        <w:spacing w:line="440" w:lineRule="exact"/>
        <w:ind w:firstLine="472" w:firstLineChars="225"/>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参与采购响应活动的各方应对磋商文件和响应文件中的商业和技术等秘密保密，违者应对由此造成的后果承担法律责任。</w:t>
      </w:r>
    </w:p>
    <w:p w14:paraId="46C4EECB">
      <w:pPr>
        <w:spacing w:line="440" w:lineRule="exact"/>
        <w:ind w:firstLine="472" w:firstLineChars="224"/>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1.7语言文字</w:t>
      </w:r>
    </w:p>
    <w:p w14:paraId="432C8D24">
      <w:pPr>
        <w:spacing w:line="440" w:lineRule="exact"/>
        <w:ind w:firstLine="470" w:firstLineChars="22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响应文件使用的语言文字均须为中文，专用术语使用外文的，应附有中文注释。</w:t>
      </w:r>
    </w:p>
    <w:p w14:paraId="7F437BA5">
      <w:pPr>
        <w:spacing w:line="440" w:lineRule="exact"/>
        <w:ind w:firstLine="472" w:firstLineChars="22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rPr>
        <w:t>1.8计量单位</w:t>
      </w:r>
    </w:p>
    <w:p w14:paraId="796DB25B">
      <w:pPr>
        <w:spacing w:line="440" w:lineRule="exact"/>
        <w:ind w:firstLine="470" w:firstLineChars="22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所有计量均采用中华人民共和国法定计量单位。</w:t>
      </w:r>
    </w:p>
    <w:p w14:paraId="1797C062">
      <w:pPr>
        <w:spacing w:line="440" w:lineRule="exact"/>
        <w:ind w:firstLine="472" w:firstLineChars="224"/>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1.9踏勘现场</w:t>
      </w:r>
    </w:p>
    <w:p w14:paraId="7170DD3E">
      <w:pPr>
        <w:spacing w:line="440" w:lineRule="exact"/>
        <w:ind w:firstLine="472" w:firstLineChars="225"/>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本项目不组织踏勘现场。但供应商有必要自行踏勘现场，以便于更好的熟悉采购内容，更好的结合现场实际情况编制响应文件。</w:t>
      </w:r>
    </w:p>
    <w:p w14:paraId="12C5F704">
      <w:pPr>
        <w:spacing w:line="440" w:lineRule="exact"/>
        <w:ind w:firstLine="474" w:firstLineChars="225"/>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rPr>
        <w:t>1.10响应预备会</w:t>
      </w:r>
    </w:p>
    <w:p w14:paraId="5A6D0974">
      <w:pPr>
        <w:spacing w:line="440" w:lineRule="exact"/>
        <w:ind w:firstLine="472" w:firstLineChars="225"/>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本项目不组织召开响应预备会。</w:t>
      </w:r>
    </w:p>
    <w:p w14:paraId="771FACFA">
      <w:pPr>
        <w:spacing w:line="440" w:lineRule="exact"/>
        <w:ind w:firstLine="474" w:firstLineChars="225"/>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rPr>
        <w:t>1.11分包</w:t>
      </w:r>
    </w:p>
    <w:p w14:paraId="63618174">
      <w:pPr>
        <w:spacing w:line="440" w:lineRule="exact"/>
        <w:ind w:firstLine="472" w:firstLineChars="225"/>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本项目不允许分包。</w:t>
      </w:r>
    </w:p>
    <w:p w14:paraId="4E878378">
      <w:pPr>
        <w:spacing w:line="440" w:lineRule="exact"/>
        <w:ind w:firstLine="474" w:firstLineChars="225"/>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rPr>
        <w:t>1．12</w:t>
      </w:r>
      <w:r>
        <w:rPr>
          <w:rFonts w:hint="eastAsia" w:asciiTheme="minorEastAsia" w:hAnsiTheme="minorEastAsia" w:eastAsiaTheme="minorEastAsia" w:cstheme="minorEastAsia"/>
          <w:szCs w:val="21"/>
          <w:highlight w:val="none"/>
        </w:rPr>
        <w:t>供应商应认真阅读磋商文件的全部内容，明确其所称全部事项、格式、条款和规范等各项具体要求。如果没有按照磋商文件要求提交全部资料，或没有对响应文件做出实质性响应，根据有关条款规定，其响应有可能被拒绝，其风险应由供应商自行承担。</w:t>
      </w:r>
    </w:p>
    <w:p w14:paraId="1F2BAA28">
      <w:pPr>
        <w:pStyle w:val="4"/>
        <w:spacing w:before="20" w:after="20" w:line="360" w:lineRule="auto"/>
        <w:rPr>
          <w:rFonts w:asciiTheme="minorEastAsia" w:hAnsiTheme="minorEastAsia" w:eastAsiaTheme="minorEastAsia" w:cstheme="minorEastAsia"/>
          <w:sz w:val="21"/>
          <w:szCs w:val="21"/>
          <w:highlight w:val="none"/>
        </w:rPr>
      </w:pPr>
      <w:bookmarkStart w:id="47" w:name="_Toc25505"/>
      <w:bookmarkStart w:id="48" w:name="_Toc3582"/>
      <w:bookmarkStart w:id="49" w:name="_Toc22226"/>
      <w:bookmarkStart w:id="50" w:name="_Toc448070713"/>
      <w:r>
        <w:rPr>
          <w:rFonts w:hint="eastAsia" w:asciiTheme="minorEastAsia" w:hAnsiTheme="minorEastAsia" w:eastAsiaTheme="minorEastAsia" w:cstheme="minorEastAsia"/>
          <w:sz w:val="21"/>
          <w:szCs w:val="21"/>
          <w:highlight w:val="none"/>
        </w:rPr>
        <w:t>2．磋商文件</w:t>
      </w:r>
      <w:bookmarkEnd w:id="47"/>
      <w:bookmarkEnd w:id="48"/>
      <w:bookmarkEnd w:id="49"/>
      <w:bookmarkEnd w:id="50"/>
    </w:p>
    <w:p w14:paraId="152481F1">
      <w:pPr>
        <w:spacing w:line="440" w:lineRule="exac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2.1磋商文件的组成</w:t>
      </w:r>
    </w:p>
    <w:p w14:paraId="42EA8DFF">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eastAsia="zh-CN"/>
        </w:rPr>
        <w:t>磋商文件</w:t>
      </w:r>
      <w:r>
        <w:rPr>
          <w:rFonts w:hint="eastAsia" w:asciiTheme="minorEastAsia" w:hAnsiTheme="minorEastAsia" w:eastAsiaTheme="minorEastAsia" w:cstheme="minorEastAsia"/>
          <w:szCs w:val="21"/>
          <w:highlight w:val="none"/>
        </w:rPr>
        <w:t>包括：</w:t>
      </w:r>
    </w:p>
    <w:p w14:paraId="09665DDF">
      <w:pPr>
        <w:spacing w:line="360" w:lineRule="auto"/>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（1）磋商公告</w:t>
      </w:r>
    </w:p>
    <w:p w14:paraId="2EFCAF9E">
      <w:pPr>
        <w:spacing w:line="360" w:lineRule="auto"/>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（2）供应商须知及前附表</w:t>
      </w:r>
    </w:p>
    <w:p w14:paraId="24214329">
      <w:pPr>
        <w:spacing w:line="360" w:lineRule="auto"/>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（3）磋商办法</w:t>
      </w:r>
    </w:p>
    <w:p w14:paraId="0367952A">
      <w:pPr>
        <w:spacing w:line="360" w:lineRule="auto"/>
        <w:ind w:firstLine="420" w:firstLineChars="200"/>
        <w:jc w:val="left"/>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rPr>
        <w:t>（4）</w:t>
      </w:r>
      <w:r>
        <w:rPr>
          <w:rFonts w:hint="eastAsia" w:asciiTheme="minorEastAsia" w:hAnsiTheme="minorEastAsia" w:eastAsiaTheme="minorEastAsia" w:cstheme="minorEastAsia"/>
          <w:szCs w:val="21"/>
          <w:highlight w:val="none"/>
          <w:lang w:eastAsia="zh-CN"/>
        </w:rPr>
        <w:t>采购需求</w:t>
      </w:r>
    </w:p>
    <w:p w14:paraId="5B35D3FA">
      <w:pPr>
        <w:spacing w:line="360" w:lineRule="auto"/>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（5）合同主要内容</w:t>
      </w:r>
    </w:p>
    <w:p w14:paraId="5E196253">
      <w:pPr>
        <w:spacing w:line="360" w:lineRule="auto"/>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（6）响应文件格式</w:t>
      </w:r>
    </w:p>
    <w:p w14:paraId="25FF6857">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根据本章第2.2 条和第2.3条对磋商文件所作的澄清、修改，构成磋商文件的组成部分。</w:t>
      </w:r>
    </w:p>
    <w:p w14:paraId="75C6F372">
      <w:pPr>
        <w:spacing w:line="440" w:lineRule="exact"/>
        <w:ind w:firstLine="540"/>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2.2磋商文件的澄清</w:t>
      </w:r>
    </w:p>
    <w:p w14:paraId="4B2CEEF2">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2.2.1供应商应仔细阅读和检查</w:t>
      </w:r>
      <w:r>
        <w:rPr>
          <w:rFonts w:hint="eastAsia" w:asciiTheme="minorEastAsia" w:hAnsiTheme="minorEastAsia" w:eastAsiaTheme="minorEastAsia" w:cstheme="minorEastAsia"/>
          <w:szCs w:val="21"/>
          <w:highlight w:val="none"/>
          <w:lang w:eastAsia="zh-CN"/>
        </w:rPr>
        <w:t>磋商文件</w:t>
      </w:r>
      <w:r>
        <w:rPr>
          <w:rFonts w:hint="eastAsia" w:asciiTheme="minorEastAsia" w:hAnsiTheme="minorEastAsia" w:eastAsiaTheme="minorEastAsia" w:cstheme="minorEastAsia"/>
          <w:szCs w:val="21"/>
          <w:highlight w:val="none"/>
        </w:rPr>
        <w:t>的全部内容。如发现缺页或附件不全，应及时向采购人提出，以便补齐。如有异议，应在供应商须知前附表规定的时间前以电子邮件形式要求采购人对</w:t>
      </w:r>
      <w:r>
        <w:rPr>
          <w:rFonts w:hint="eastAsia" w:asciiTheme="minorEastAsia" w:hAnsiTheme="minorEastAsia" w:eastAsiaTheme="minorEastAsia" w:cstheme="minorEastAsia"/>
          <w:szCs w:val="21"/>
          <w:highlight w:val="none"/>
          <w:lang w:eastAsia="zh-CN"/>
        </w:rPr>
        <w:t>磋商文件</w:t>
      </w:r>
      <w:r>
        <w:rPr>
          <w:rFonts w:hint="eastAsia" w:asciiTheme="minorEastAsia" w:hAnsiTheme="minorEastAsia" w:eastAsiaTheme="minorEastAsia" w:cstheme="minorEastAsia"/>
          <w:szCs w:val="21"/>
          <w:highlight w:val="none"/>
        </w:rPr>
        <w:t>予以回复，提出异议时须注明项目名称及项目编号。响应异议时间：</w:t>
      </w:r>
      <w:bookmarkStart w:id="139" w:name="_GoBack"/>
      <w:bookmarkEnd w:id="139"/>
      <w:r>
        <w:rPr>
          <w:rFonts w:hint="eastAsia" w:asciiTheme="minorEastAsia" w:hAnsiTheme="minorEastAsia" w:eastAsiaTheme="minorEastAsia" w:cstheme="minorEastAsia"/>
          <w:b/>
          <w:bCs/>
          <w:szCs w:val="21"/>
          <w:highlight w:val="none"/>
          <w:lang w:val="en-US" w:eastAsia="zh-CN"/>
        </w:rPr>
        <w:t>2024年08月18日17:00前</w:t>
      </w:r>
      <w:r>
        <w:rPr>
          <w:rFonts w:hint="eastAsia" w:asciiTheme="minorEastAsia" w:hAnsiTheme="minorEastAsia" w:eastAsiaTheme="minorEastAsia" w:cstheme="minorEastAsia"/>
          <w:szCs w:val="21"/>
          <w:highlight w:val="none"/>
        </w:rPr>
        <w:t>；受异议的电子邮箱：bjhczhbdlyxgs@163.com；</w:t>
      </w:r>
    </w:p>
    <w:p w14:paraId="4FC8BE52">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2.2.2</w:t>
      </w:r>
      <w:r>
        <w:rPr>
          <w:rFonts w:hint="eastAsia" w:asciiTheme="minorEastAsia" w:hAnsiTheme="minorEastAsia" w:eastAsiaTheme="minorEastAsia" w:cstheme="minorEastAsia"/>
          <w:szCs w:val="21"/>
          <w:highlight w:val="none"/>
          <w:lang w:eastAsia="zh-CN"/>
        </w:rPr>
        <w:t>磋商文件</w:t>
      </w:r>
      <w:r>
        <w:rPr>
          <w:rFonts w:hint="eastAsia" w:asciiTheme="minorEastAsia" w:hAnsiTheme="minorEastAsia" w:eastAsiaTheme="minorEastAsia" w:cstheme="minorEastAsia"/>
          <w:szCs w:val="21"/>
          <w:highlight w:val="none"/>
        </w:rPr>
        <w:t>的澄清在响应截止时间前，以网上公布方式发布给所有潜在的供应商。如果澄清发出可能影响响应文件编制的，相应推迟响应截止时间。</w:t>
      </w:r>
    </w:p>
    <w:p w14:paraId="08FBDDED">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2.2.3所有领取</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的供应商有义务在网上自行查询资料，</w:t>
      </w:r>
      <w:r>
        <w:rPr>
          <w:rFonts w:hint="eastAsia" w:asciiTheme="minorEastAsia" w:hAnsiTheme="minorEastAsia" w:eastAsiaTheme="minorEastAsia" w:cstheme="minorEastAsia"/>
          <w:szCs w:val="21"/>
          <w:highlight w:val="none"/>
        </w:rPr>
        <w:t>无需以书面形式回复。采购代理机构将不再另行通知各供应商。供应商对</w:t>
      </w:r>
      <w:r>
        <w:rPr>
          <w:rFonts w:hint="eastAsia" w:asciiTheme="minorEastAsia" w:hAnsiTheme="minorEastAsia" w:eastAsiaTheme="minorEastAsia" w:cstheme="minorEastAsia"/>
          <w:szCs w:val="21"/>
          <w:highlight w:val="none"/>
          <w:lang w:eastAsia="zh-CN"/>
        </w:rPr>
        <w:t>磋商文件</w:t>
      </w:r>
      <w:r>
        <w:rPr>
          <w:rFonts w:hint="eastAsia" w:asciiTheme="minorEastAsia" w:hAnsiTheme="minorEastAsia" w:eastAsiaTheme="minorEastAsia" w:cstheme="minorEastAsia"/>
          <w:szCs w:val="21"/>
          <w:highlight w:val="none"/>
        </w:rPr>
        <w:t>的澄清、修改未能及时查询的，由此引起的一切责任均由供应商自行负责。</w:t>
      </w:r>
    </w:p>
    <w:p w14:paraId="128EEFD3">
      <w:pPr>
        <w:spacing w:line="440" w:lineRule="exact"/>
        <w:ind w:firstLine="435"/>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2.3磋商文件的修改</w:t>
      </w:r>
    </w:p>
    <w:p w14:paraId="1A226346">
      <w:pPr>
        <w:spacing w:line="440" w:lineRule="exact"/>
        <w:ind w:firstLine="420" w:firstLineChars="200"/>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szCs w:val="21"/>
          <w:highlight w:val="none"/>
        </w:rPr>
        <w:t xml:space="preserve"> 2.3.1采购人对已发出的磋商文件进行的必要澄清或者修改的内容可能影响磋商响应文件编制的,应在响应截止5日前，</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在</w:t>
      </w:r>
      <w:r>
        <w:rPr>
          <w:rFonts w:hint="eastAsia" w:asciiTheme="minorEastAsia" w:hAnsiTheme="minorEastAsia" w:eastAsiaTheme="minorEastAsia" w:cstheme="minorEastAsia"/>
          <w:szCs w:val="21"/>
          <w:highlight w:val="none"/>
        </w:rPr>
        <w:t>巢湖学院官网（https://www.chu.edu.cn/）</w:t>
      </w:r>
      <w:r>
        <w:rPr>
          <w:rFonts w:hint="eastAsia" w:asciiTheme="minorEastAsia" w:hAnsiTheme="minorEastAsia" w:eastAsiaTheme="minorEastAsia" w:cstheme="minorEastAsia"/>
          <w:szCs w:val="21"/>
          <w:highlight w:val="none"/>
          <w:lang w:eastAsia="zh-CN"/>
        </w:rPr>
        <w:t>和</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安徽省招标投标信息网（http://www.ahtba.org.cn/）</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、华采招标集团有限公司网站（http://www.bjhczb.com/）</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上发布，距响应截止时间不足5日的，相应延长响应截止时间。</w:t>
      </w:r>
    </w:p>
    <w:p w14:paraId="312ABC8D">
      <w:pPr>
        <w:spacing w:line="4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在响应截止日期前，无论出于何种原因，采购人可主动地或在解答供应商要求澄清的问题时对磋商文件进行修改。</w:t>
      </w:r>
    </w:p>
    <w:p w14:paraId="0FF34D83">
      <w:pPr>
        <w:spacing w:line="440" w:lineRule="exact"/>
        <w:ind w:firstLine="435"/>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2.3.2采购人对供应商提出异议的答复将在</w:t>
      </w:r>
      <w:r>
        <w:rPr>
          <w:rFonts w:hint="eastAsia" w:asciiTheme="minorEastAsia" w:hAnsiTheme="minorEastAsia" w:eastAsiaTheme="minorEastAsia" w:cstheme="minorEastAsia"/>
          <w:szCs w:val="21"/>
          <w:highlight w:val="none"/>
        </w:rPr>
        <w:t>巢湖学院官网（https://www.chu.edu.cn/）</w:t>
      </w:r>
      <w:r>
        <w:rPr>
          <w:rFonts w:hint="eastAsia" w:asciiTheme="minorEastAsia" w:hAnsiTheme="minorEastAsia" w:eastAsiaTheme="minorEastAsia" w:cstheme="minorEastAsia"/>
          <w:szCs w:val="21"/>
          <w:highlight w:val="none"/>
          <w:lang w:eastAsia="zh-CN"/>
        </w:rPr>
        <w:t>和</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安徽省招标投标信息网（http://www.ahtba.org.cn/）</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、华采招标集团有限公司网站（http://www.bjhczb.com/）</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上发布，但不指明澄清问题的来源。供应商自行</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在以上网站</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查询，无需确认。</w:t>
      </w:r>
    </w:p>
    <w:p w14:paraId="05FB0285">
      <w:pPr>
        <w:spacing w:line="440" w:lineRule="exact"/>
        <w:ind w:firstLine="435"/>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2.3.3当磋商文件的澄清、修改、补充等在同一内容的表述上不一致时</w:t>
      </w:r>
      <w:r>
        <w:rPr>
          <w:rFonts w:hint="eastAsia" w:asciiTheme="minorEastAsia" w:hAnsiTheme="minorEastAsia" w:eastAsiaTheme="minorEastAsia" w:cstheme="minorEastAsia"/>
          <w:szCs w:val="21"/>
          <w:highlight w:val="none"/>
        </w:rPr>
        <w:t>，以最后发出的为准。为使供应商在准备磋商响应文件时，有充足的时间对磋商文件的修改进行研究考虑，采购方可自行决定，酌情推迟响应截止日期。</w:t>
      </w:r>
    </w:p>
    <w:p w14:paraId="57FC22A0">
      <w:pPr>
        <w:pStyle w:val="4"/>
        <w:spacing w:before="20" w:after="20" w:line="360" w:lineRule="auto"/>
        <w:rPr>
          <w:rFonts w:asciiTheme="minorEastAsia" w:hAnsiTheme="minorEastAsia" w:eastAsiaTheme="minorEastAsia" w:cstheme="minorEastAsia"/>
          <w:sz w:val="21"/>
          <w:szCs w:val="21"/>
          <w:highlight w:val="none"/>
        </w:rPr>
      </w:pPr>
      <w:bookmarkStart w:id="51" w:name="_Toc21962"/>
      <w:bookmarkStart w:id="52" w:name="_Toc4534"/>
      <w:bookmarkStart w:id="53" w:name="_Toc448070714"/>
      <w:bookmarkStart w:id="54" w:name="_Toc27516"/>
      <w:r>
        <w:rPr>
          <w:rFonts w:hint="eastAsia" w:asciiTheme="minorEastAsia" w:hAnsiTheme="minorEastAsia" w:eastAsiaTheme="minorEastAsia" w:cstheme="minorEastAsia"/>
          <w:sz w:val="21"/>
          <w:szCs w:val="21"/>
          <w:highlight w:val="none"/>
        </w:rPr>
        <w:t>3．响应文件</w:t>
      </w:r>
      <w:bookmarkEnd w:id="51"/>
      <w:bookmarkEnd w:id="52"/>
      <w:bookmarkEnd w:id="53"/>
      <w:bookmarkEnd w:id="54"/>
    </w:p>
    <w:p w14:paraId="5A893A0F">
      <w:pPr>
        <w:spacing w:line="440" w:lineRule="exact"/>
        <w:ind w:firstLine="435"/>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3.1响应文件的组成</w:t>
      </w:r>
    </w:p>
    <w:p w14:paraId="047218F5">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3.1.1 响应文件应包括下列内容：</w:t>
      </w:r>
    </w:p>
    <w:p w14:paraId="4E90411D">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见响应文件格式</w:t>
      </w:r>
    </w:p>
    <w:p w14:paraId="520AE7D7">
      <w:pPr>
        <w:spacing w:line="440" w:lineRule="exact"/>
        <w:ind w:firstLine="316" w:firstLineChars="150"/>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3.2响应报价</w:t>
      </w:r>
    </w:p>
    <w:p w14:paraId="100C3101">
      <w:pPr>
        <w:spacing w:line="440" w:lineRule="exact"/>
        <w:ind w:firstLine="315" w:firstLineChars="15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3.2.1供应商应按磋商文件的格式要求填写相应表格。</w:t>
      </w:r>
    </w:p>
    <w:p w14:paraId="4FE964A0">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3.2.2供应商应在响应文件中注明拟提供服务的单价明细。</w:t>
      </w:r>
    </w:p>
    <w:p w14:paraId="7E66C98E">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3.2.3报价内容包括完成本项目采购需求的全部费用，包括但不限于人工费、差旅费、食宿费、管理费、专家评审费、利润及税金等全部费用。</w:t>
      </w:r>
    </w:p>
    <w:p w14:paraId="62354BCD">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3.2.4供应商在响应截止时间前修改响应报价表中的响应报价，应同时修改报价清单中相应报价。</w:t>
      </w:r>
    </w:p>
    <w:p w14:paraId="02B8E3F1">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3.2.5除非磋商文件另有规定，每一包只允许有一个最终报价，任何有选择的报价或替代方案将导致响应无效。</w:t>
      </w:r>
    </w:p>
    <w:p w14:paraId="070FACD6">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3.2.6采购人不建议供应商采用总价优惠或以总价百分比优惠的方式进行响应报价，其优惠可直接计算并体现在各项响应报价的单价中。</w:t>
      </w:r>
    </w:p>
    <w:p w14:paraId="5E8AEDFA">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3.2.7除政策性文件规定以外，供应商所报价格在合同实施期间不因市场变化因素而变动。</w:t>
      </w:r>
    </w:p>
    <w:p w14:paraId="52F72B75">
      <w:pPr>
        <w:spacing w:line="440" w:lineRule="exact"/>
        <w:ind w:firstLine="316" w:firstLineChars="150"/>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3.3响应有效期</w:t>
      </w:r>
    </w:p>
    <w:p w14:paraId="17DBAD99">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3.3.1 在供应商须知前附表规定的响应有效期内，供应商不得要求撤销或修改其响应文件。</w:t>
      </w:r>
    </w:p>
    <w:p w14:paraId="3BC665E4">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3.3.2 出现特殊情况需要延长响应有效期的，将以书面形式通知所有供应商延长响应有效期。供应商同意延长的，不得要求或被允许修改或撤销其响应文件；供应商拒绝延长的，其响应失效。</w:t>
      </w:r>
    </w:p>
    <w:p w14:paraId="735A7A1D">
      <w:pPr>
        <w:spacing w:line="440" w:lineRule="exact"/>
        <w:ind w:firstLine="316" w:firstLineChars="150"/>
        <w:rPr>
          <w:rFonts w:hint="eastAsia" w:asciiTheme="minorEastAsia" w:hAnsiTheme="minorEastAsia" w:eastAsiaTheme="minorEastAsia" w:cstheme="minorEastAsia"/>
          <w:b/>
          <w:szCs w:val="21"/>
          <w:highlight w:val="none"/>
          <w:lang w:eastAsia="zh-CN"/>
        </w:rPr>
      </w:pPr>
      <w:bookmarkStart w:id="55" w:name="_Toc29145223"/>
      <w:bookmarkStart w:id="56" w:name="_Toc422395147"/>
      <w:bookmarkStart w:id="57" w:name="_Toc416271404"/>
      <w:bookmarkStart w:id="58" w:name="_Toc416271933"/>
      <w:bookmarkStart w:id="59" w:name="_Toc395801966"/>
      <w:r>
        <w:rPr>
          <w:rFonts w:hint="eastAsia" w:asciiTheme="minorEastAsia" w:hAnsiTheme="minorEastAsia" w:eastAsiaTheme="minorEastAsia" w:cstheme="minorEastAsia"/>
          <w:b/>
          <w:szCs w:val="21"/>
          <w:highlight w:val="none"/>
        </w:rPr>
        <w:t>3.4 磋商保证金</w:t>
      </w:r>
      <w:bookmarkEnd w:id="55"/>
      <w:bookmarkEnd w:id="56"/>
      <w:bookmarkEnd w:id="57"/>
      <w:bookmarkEnd w:id="58"/>
      <w:bookmarkEnd w:id="59"/>
      <w:r>
        <w:rPr>
          <w:rFonts w:hint="eastAsia" w:asciiTheme="minorEastAsia" w:hAnsiTheme="minorEastAsia" w:eastAsiaTheme="minorEastAsia" w:cstheme="minorEastAsia"/>
          <w:b/>
          <w:szCs w:val="21"/>
          <w:highlight w:val="none"/>
          <w:lang w:eastAsia="zh-CN"/>
        </w:rPr>
        <w:t>（本条不采用）</w:t>
      </w:r>
    </w:p>
    <w:p w14:paraId="0F3A593B">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3.4.1 供应商在递交响应文件的同时，应按供应商须知前附表规定的金额、担保形式、递交方式递交磋商保证金，并作为其响应文件的组成部分。 </w:t>
      </w:r>
    </w:p>
    <w:p w14:paraId="64202AC4">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3.4.2 供应商不按本章第3.4.1 条要求提交磋商保证金的，其响应文件作废标处理。</w:t>
      </w:r>
    </w:p>
    <w:p w14:paraId="3C01F36B">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3.4.3成交人以外的供应商磋商保证金将在成交通知书发出后5个工作日内予以退还。</w:t>
      </w:r>
    </w:p>
    <w:p w14:paraId="2C3E22E9">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3.4.4成交人的磋商保证金在采购人与成交人签订合同后5个工作日内予以退还。</w:t>
      </w:r>
    </w:p>
    <w:p w14:paraId="134978B6">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3.4.5有下列情形之一的，磋商保证金将不予退还：</w:t>
      </w:r>
    </w:p>
    <w:p w14:paraId="6882157A">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（1）在招标投标活动中串通投标、弄虚作假、以他人名义投标。 </w:t>
      </w:r>
    </w:p>
    <w:p w14:paraId="258DDA84">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(2）供应商在规定的投标有效期内撤销或修改其响应文件。</w:t>
      </w:r>
    </w:p>
    <w:p w14:paraId="29F21490">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（3）成交人除不可抗力外，放弃成交资格的。</w:t>
      </w:r>
    </w:p>
    <w:p w14:paraId="3E3AD7FF">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(4）成交人在收到成交通知书后，无正当理由拒签合同协议书。</w:t>
      </w:r>
    </w:p>
    <w:p w14:paraId="7A69B1E7">
      <w:pPr>
        <w:spacing w:line="440" w:lineRule="exact"/>
        <w:ind w:firstLine="316" w:firstLineChars="150"/>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3.4 备选响应方案</w:t>
      </w:r>
    </w:p>
    <w:p w14:paraId="7F1FCD2C">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本项目不接受备选响应方案。</w:t>
      </w:r>
    </w:p>
    <w:p w14:paraId="19F350DA">
      <w:pPr>
        <w:spacing w:line="440" w:lineRule="exact"/>
        <w:ind w:firstLine="316" w:firstLineChars="150"/>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3.5响应文件的编制和标记</w:t>
      </w:r>
    </w:p>
    <w:p w14:paraId="29FFA3DE">
      <w:pPr>
        <w:spacing w:line="440" w:lineRule="exact"/>
        <w:ind w:firstLine="420" w:firstLineChars="200"/>
        <w:rPr>
          <w:rFonts w:hint="eastAsia" w:asciiTheme="minorEastAsia" w:hAnsiTheme="minorEastAsia" w:cstheme="minorEastAsia"/>
          <w:color w:val="000000" w:themeColor="text1"/>
          <w:szCs w:val="21"/>
          <w:highlight w:val="none"/>
          <w14:textFill>
            <w14:solidFill>
              <w14:schemeClr w14:val="tx1"/>
            </w14:solidFill>
          </w14:textFill>
        </w:rPr>
      </w:pPr>
      <w:bookmarkStart w:id="60" w:name="_Toc32015"/>
      <w:bookmarkStart w:id="61" w:name="_Toc32318"/>
      <w:bookmarkStart w:id="62" w:name="_Toc12243"/>
      <w:bookmarkStart w:id="63" w:name="_Toc448070715"/>
      <w:r>
        <w:rPr>
          <w:rFonts w:hint="eastAsia" w:asciiTheme="minorEastAsia" w:hAnsiTheme="minorEastAsia" w:cstheme="minorEastAsia"/>
          <w:color w:val="000000" w:themeColor="text1"/>
          <w:szCs w:val="21"/>
          <w:highlight w:val="none"/>
          <w14:textFill>
            <w14:solidFill>
              <w14:schemeClr w14:val="tx1"/>
            </w14:solidFill>
          </w14:textFill>
        </w:rPr>
        <w:t>3.5.1 响应文件应按第六章“响应文件格式”进行编写，如有必要，可以增加附页，作为响应文件的组成部分。</w:t>
      </w:r>
    </w:p>
    <w:p w14:paraId="37303193">
      <w:pPr>
        <w:spacing w:line="440" w:lineRule="exact"/>
        <w:ind w:firstLine="420" w:firstLineChars="200"/>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3.5.2 供应商应认真阅读竞争性磋商文件中所有的事项、格式、条件、条款和规范等要求。</w:t>
      </w:r>
    </w:p>
    <w:p w14:paraId="3A0E2B1F">
      <w:pPr>
        <w:spacing w:line="440" w:lineRule="exact"/>
        <w:ind w:firstLine="420" w:firstLineChars="200"/>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3.5.3 供应商应按照竞争性磋商文件的要求，规范、明确、准时的提交响应文件。如果没有按照竞争性磋商文件的要求提交全部资料并保证所提供全部资料的真实性，或没有对竞争性磋商文件做出实质性响应，其风险应由供应商自行承担。根据有关条款规定，其响应有可能被拒绝。</w:t>
      </w:r>
    </w:p>
    <w:p w14:paraId="510BD31E">
      <w:pPr>
        <w:spacing w:line="440" w:lineRule="exact"/>
        <w:ind w:firstLine="420" w:firstLineChars="200"/>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3.5.4除非有特殊要求，竞争性磋商文件不单独提供采购货物使用地的自然环境、气候条件、公用设施等情况，供应商被视为熟悉上述与履行合同有关的一切情况。</w:t>
      </w:r>
    </w:p>
    <w:p w14:paraId="470D7FD4">
      <w:pPr>
        <w:spacing w:line="440" w:lineRule="exact"/>
        <w:ind w:firstLine="420" w:firstLineChars="200"/>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3.5.5 响应文件必须对竞争性磋商文件有关服务期限、响应有效期、质量要求、技术标准和要求、采购范围、人员配备等实质性内容作出响应。</w:t>
      </w:r>
    </w:p>
    <w:p w14:paraId="6B0199BB">
      <w:pPr>
        <w:spacing w:line="440" w:lineRule="exact"/>
        <w:ind w:firstLine="420" w:firstLineChars="200"/>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3.5.6 本项目要求提供加密电子响应文件，响应文件的制作应满足以下规定：</w:t>
      </w:r>
    </w:p>
    <w:p w14:paraId="65248402">
      <w:pPr>
        <w:spacing w:line="440" w:lineRule="exact"/>
        <w:ind w:firstLine="420" w:firstLineChars="200"/>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（1）响应文件由供应商在华采招标集团有限公司电子招投标平台（http://www.bjhczb.com/）上制作生成。</w:t>
      </w:r>
    </w:p>
    <w:p w14:paraId="65DB4DB2">
      <w:pPr>
        <w:spacing w:line="440" w:lineRule="exact"/>
        <w:ind w:firstLine="420" w:firstLineChars="200"/>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2）在第六章“响应文件格式”中要求加盖供应商电子签章处，供应商均应加盖供应商电子签章或公章。联合体参加磋商的，除联合协议及磋商文件规定须联合体各成员单位各自盖章的证明材料外，响应文件由联合体牵头人按上述规定加盖联合体牵头人单位电子签章或公章。</w:t>
      </w:r>
    </w:p>
    <w:p w14:paraId="6DD36789">
      <w:pPr>
        <w:spacing w:line="440" w:lineRule="exact"/>
        <w:ind w:firstLine="420" w:firstLineChars="200"/>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3）响应文件制作完成后，供应商应对响应文件进行文件加密，形成加密的响应文件。采用数字证书加密的，加密时响应文件的所有内容均只能使用同一把数字证书进行加密，否则引起的解密失败责任由供应商自行承担。</w:t>
      </w:r>
    </w:p>
    <w:p w14:paraId="78D3B0CE">
      <w:pPr>
        <w:spacing w:line="440" w:lineRule="exact"/>
        <w:ind w:firstLine="420" w:firstLineChars="200"/>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（4）响应文件制作的具体方法详见“投标文件制作工具”中的帮助文档。</w:t>
      </w:r>
    </w:p>
    <w:p w14:paraId="46048F38">
      <w:pPr>
        <w:spacing w:line="440" w:lineRule="exact"/>
        <w:ind w:firstLine="420" w:firstLineChars="200"/>
        <w:rPr>
          <w:rFonts w:asciiTheme="minorEastAsia" w:hAnsiTheme="minorEastAsia" w:cstheme="minorEastAsia"/>
          <w:b/>
          <w:color w:val="000000" w:themeColor="text1"/>
          <w:szCs w:val="21"/>
          <w:highlight w:val="none"/>
          <w:u w:val="doubl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3.5.7因供应商自身原因而导致响应文件无法导入电子交易系统电子开标、评标系统的，该响应文件视为无效响应文件，供应商自行承担由此导致的全部责任。（该响应文件是指解密后的响应文件）。</w:t>
      </w:r>
    </w:p>
    <w:p w14:paraId="5FF44534">
      <w:pPr>
        <w:spacing w:line="440" w:lineRule="exact"/>
        <w:ind w:firstLine="420" w:firstLineChars="200"/>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3.5.8磋商现场提交的其他材料要求详见供应商须知前附表。</w:t>
      </w:r>
    </w:p>
    <w:bookmarkEnd w:id="60"/>
    <w:bookmarkEnd w:id="61"/>
    <w:bookmarkEnd w:id="62"/>
    <w:bookmarkEnd w:id="63"/>
    <w:p w14:paraId="1E0D60CB">
      <w:pPr>
        <w:pStyle w:val="4"/>
        <w:spacing w:before="20" w:after="20" w:line="360" w:lineRule="auto"/>
        <w:ind w:firstLine="420" w:firstLineChars="0"/>
        <w:rPr>
          <w:rFonts w:asciiTheme="minorEastAsia" w:hAnsiTheme="minorEastAsia" w:cstheme="minorEastAsia"/>
          <w:color w:val="000000" w:themeColor="text1"/>
          <w:sz w:val="21"/>
          <w:szCs w:val="21"/>
          <w:highlight w:val="none"/>
          <w14:textFill>
            <w14:solidFill>
              <w14:schemeClr w14:val="tx1"/>
            </w14:solidFill>
          </w14:textFill>
        </w:rPr>
      </w:pPr>
      <w:bookmarkStart w:id="64" w:name="_Toc448070716"/>
      <w:bookmarkStart w:id="65" w:name="_Toc26630"/>
      <w:bookmarkStart w:id="66" w:name="_Toc12916"/>
      <w:bookmarkStart w:id="67" w:name="_Toc28603"/>
      <w:r>
        <w:rPr>
          <w:rFonts w:hint="eastAsia" w:asciiTheme="minorEastAsia" w:hAnsiTheme="minorEastAsia" w:cstheme="minorEastAsia"/>
          <w:color w:val="000000" w:themeColor="text1"/>
          <w:sz w:val="21"/>
          <w:szCs w:val="21"/>
          <w:highlight w:val="none"/>
          <w14:textFill>
            <w14:solidFill>
              <w14:schemeClr w14:val="tx1"/>
            </w14:solidFill>
          </w14:textFill>
        </w:rPr>
        <w:t>4．响应文件递交</w:t>
      </w:r>
    </w:p>
    <w:p w14:paraId="2028320C">
      <w:pPr>
        <w:spacing w:line="440" w:lineRule="exact"/>
        <w:rPr>
          <w:rFonts w:asciiTheme="minorEastAsia" w:hAnsiTheme="minorEastAsia" w:cstheme="minorEastAsia"/>
          <w:b/>
          <w:color w:val="000000" w:themeColor="text1"/>
          <w:szCs w:val="21"/>
          <w:highlight w:val="none"/>
          <w14:textFill>
            <w14:solidFill>
              <w14:schemeClr w14:val="tx1"/>
            </w14:solidFill>
          </w14:textFill>
        </w:rPr>
      </w:pPr>
      <w:r>
        <w:rPr>
          <w:rFonts w:hint="eastAsia" w:asciiTheme="minorEastAsia" w:hAnsiTheme="minorEastAsia" w:cstheme="minorEastAsia"/>
          <w:b/>
          <w:color w:val="000000" w:themeColor="text1"/>
          <w:szCs w:val="21"/>
          <w:highlight w:val="none"/>
          <w14:textFill>
            <w14:solidFill>
              <w14:schemeClr w14:val="tx1"/>
            </w14:solidFill>
          </w14:textFill>
        </w:rPr>
        <w:t>4.</w:t>
      </w:r>
      <w:r>
        <w:rPr>
          <w:rFonts w:hint="eastAsia" w:asciiTheme="minorEastAsia" w:hAnsiTheme="minorEastAsia" w:cstheme="minorEastAsia"/>
          <w:b/>
          <w:color w:val="000000" w:themeColor="text1"/>
          <w:szCs w:val="21"/>
          <w:highlight w:val="none"/>
          <w:lang w:val="en-US" w:eastAsia="zh-CN"/>
          <w14:textFill>
            <w14:solidFill>
              <w14:schemeClr w14:val="tx1"/>
            </w14:solidFill>
          </w14:textFill>
        </w:rPr>
        <w:t>1</w:t>
      </w:r>
      <w:r>
        <w:rPr>
          <w:rFonts w:hint="eastAsia" w:asciiTheme="minorEastAsia" w:hAnsiTheme="minorEastAsia" w:cstheme="minorEastAsia"/>
          <w:b/>
          <w:color w:val="000000" w:themeColor="text1"/>
          <w:szCs w:val="21"/>
          <w:highlight w:val="none"/>
          <w14:textFill>
            <w14:solidFill>
              <w14:schemeClr w14:val="tx1"/>
            </w14:solidFill>
          </w14:textFill>
        </w:rPr>
        <w:t>响应文件的递交</w:t>
      </w:r>
    </w:p>
    <w:p w14:paraId="625FB2B4">
      <w:pPr>
        <w:spacing w:line="440" w:lineRule="exact"/>
        <w:ind w:firstLine="315" w:firstLineChars="150"/>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 xml:space="preserve"> 4.2.1 响应截止时间：见供应商须知前附表。</w:t>
      </w:r>
    </w:p>
    <w:p w14:paraId="0659F4AF">
      <w:pPr>
        <w:spacing w:line="440" w:lineRule="exact"/>
        <w:ind w:firstLine="420" w:firstLineChars="200"/>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4.2.2 供应商递交响应文件的地点：见供应商须知前附表。</w:t>
      </w:r>
    </w:p>
    <w:p w14:paraId="19E190E7">
      <w:pPr>
        <w:spacing w:line="440" w:lineRule="exact"/>
        <w:ind w:firstLine="420" w:firstLineChars="200"/>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4.2.3供应商应在供应商须知前附表中规定的响应文件提交截止时间前，在网上提交加密电子响应文件。</w:t>
      </w:r>
    </w:p>
    <w:p w14:paraId="7B20B0B6">
      <w:pPr>
        <w:spacing w:line="440" w:lineRule="exact"/>
        <w:ind w:firstLine="420" w:firstLineChars="200"/>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4.2.4 采购人和采购代理机构延迟响应文件提交截止时间的。在此情况下，采购人、采购代理机构和供应商受响应文件提交截止时间制约的所有权利和义务均应延长至新的截止时间。</w:t>
      </w:r>
    </w:p>
    <w:p w14:paraId="4EA072D5">
      <w:pPr>
        <w:spacing w:line="440" w:lineRule="exact"/>
        <w:rPr>
          <w:rFonts w:asciiTheme="minorEastAsia" w:hAnsiTheme="minorEastAsia" w:cstheme="minorEastAsia"/>
          <w:b/>
          <w:color w:val="000000" w:themeColor="text1"/>
          <w:szCs w:val="21"/>
          <w:highlight w:val="none"/>
          <w14:textFill>
            <w14:solidFill>
              <w14:schemeClr w14:val="tx1"/>
            </w14:solidFill>
          </w14:textFill>
        </w:rPr>
      </w:pPr>
      <w:r>
        <w:rPr>
          <w:rFonts w:hint="eastAsia" w:asciiTheme="minorEastAsia" w:hAnsiTheme="minorEastAsia" w:cstheme="minorEastAsia"/>
          <w:b/>
          <w:color w:val="000000" w:themeColor="text1"/>
          <w:szCs w:val="21"/>
          <w:highlight w:val="none"/>
          <w14:textFill>
            <w14:solidFill>
              <w14:schemeClr w14:val="tx1"/>
            </w14:solidFill>
          </w14:textFill>
        </w:rPr>
        <w:t>4.3响应文件的修改与撤回</w:t>
      </w:r>
    </w:p>
    <w:p w14:paraId="10CC34F8">
      <w:pPr>
        <w:spacing w:line="440" w:lineRule="exact"/>
        <w:ind w:firstLine="465"/>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4.3.1供应商应在供应商须知前附表中规定的响应文件提交截止时间前，将加密的响应文件在电子交易系统上传。</w:t>
      </w:r>
    </w:p>
    <w:p w14:paraId="0F20BD2D">
      <w:pPr>
        <w:spacing w:line="440" w:lineRule="exact"/>
        <w:ind w:firstLine="465"/>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4.3.2 供应商在响应文件提交截止时间前可以补充、修改或者撤回已提交的响应文件，补充、修改或者撤回的内容应按照响应文件提交要求进行签署、盖章、密封。补充、修改的内容为响应文件的组成部分。</w:t>
      </w:r>
    </w:p>
    <w:p w14:paraId="0733C3F4">
      <w:pPr>
        <w:spacing w:line="440" w:lineRule="exact"/>
        <w:ind w:firstLine="465"/>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4.3.3在响应文件提交截止时间之后，供应商不得对其响应文件做任何修改。但属于磋商小组在评审中发现的计算错误并进行核实的修改、按照磋商文件的变动情况和磋商小组的要求重新提交响应文件的，不在此列。</w:t>
      </w:r>
    </w:p>
    <w:p w14:paraId="6C45B55C">
      <w:pPr>
        <w:pStyle w:val="4"/>
        <w:spacing w:before="20" w:after="20" w:line="360" w:lineRule="auto"/>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bookmarkEnd w:id="64"/>
      <w:bookmarkEnd w:id="65"/>
      <w:r>
        <w:rPr>
          <w:rFonts w:hint="eastAsia" w:asciiTheme="minorEastAsia" w:hAnsiTheme="minorEastAsia" w:eastAsiaTheme="minorEastAsia" w:cstheme="minorEastAsia"/>
          <w:sz w:val="21"/>
          <w:szCs w:val="21"/>
          <w:highlight w:val="none"/>
        </w:rPr>
        <w:t>磋商会</w:t>
      </w:r>
      <w:bookmarkEnd w:id="66"/>
      <w:bookmarkEnd w:id="67"/>
    </w:p>
    <w:p w14:paraId="1573601C">
      <w:pPr>
        <w:spacing w:line="440" w:lineRule="exact"/>
        <w:ind w:firstLine="422" w:firstLineChars="200"/>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pPr>
      <w:bookmarkStart w:id="68" w:name="_Hlt509650929"/>
      <w:bookmarkEnd w:id="68"/>
      <w:bookmarkStart w:id="69" w:name="_Hlt509650936"/>
      <w:bookmarkEnd w:id="69"/>
      <w:bookmarkStart w:id="70" w:name="_Hlt509649669"/>
      <w:bookmarkEnd w:id="70"/>
      <w:bookmarkStart w:id="71" w:name="_Hlt509649645"/>
      <w:bookmarkEnd w:id="71"/>
      <w:bookmarkStart w:id="72" w:name="_Hlt509649795"/>
      <w:bookmarkEnd w:id="72"/>
      <w:bookmarkStart w:id="73" w:name="_Hlt526418153"/>
      <w:bookmarkEnd w:id="73"/>
      <w:bookmarkStart w:id="74" w:name="_Hlt509650690"/>
      <w:bookmarkEnd w:id="74"/>
      <w:bookmarkStart w:id="75" w:name="_Hlt509649330"/>
      <w:bookmarkEnd w:id="75"/>
      <w:bookmarkStart w:id="76" w:name="_Hlt509649678"/>
      <w:bookmarkEnd w:id="76"/>
      <w:bookmarkStart w:id="77" w:name="_Hlt509650932"/>
      <w:bookmarkEnd w:id="77"/>
      <w:bookmarkStart w:id="78" w:name="_Hlt509650116"/>
      <w:bookmarkEnd w:id="78"/>
      <w:bookmarkStart w:id="79" w:name="_Hlt509650103"/>
      <w:bookmarkEnd w:id="79"/>
      <w:bookmarkStart w:id="80" w:name="_Hlt509650333"/>
      <w:bookmarkEnd w:id="80"/>
      <w:bookmarkStart w:id="81" w:name="_Hlt509650961"/>
      <w:bookmarkEnd w:id="81"/>
      <w:bookmarkStart w:id="82" w:name="_Toc7354"/>
      <w:bookmarkStart w:id="83" w:name="_Toc448070717"/>
      <w:bookmarkStart w:id="84" w:name="_Toc25432"/>
      <w:bookmarkStart w:id="85" w:name="_Toc2552"/>
      <w:r>
        <w:rPr>
          <w:rFonts w:hint="eastAsia" w:asciiTheme="minorEastAsia" w:hAnsiTheme="minorEastAsia" w:cstheme="minorEastAsia"/>
          <w:b/>
          <w:color w:val="000000" w:themeColor="text1"/>
          <w:szCs w:val="21"/>
          <w:highlight w:val="none"/>
          <w14:textFill>
            <w14:solidFill>
              <w14:schemeClr w14:val="tx1"/>
            </w14:solidFill>
          </w14:textFill>
        </w:rPr>
        <w:t>5.1磋商时间和地点</w:t>
      </w:r>
    </w:p>
    <w:p w14:paraId="1DC92714">
      <w:pPr>
        <w:spacing w:line="440" w:lineRule="exact"/>
        <w:ind w:firstLine="420" w:firstLineChars="200"/>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将在供应商须知前附表规定的时间和地点进行磋商。</w:t>
      </w:r>
    </w:p>
    <w:p w14:paraId="2CBDEFF1">
      <w:pPr>
        <w:spacing w:line="440" w:lineRule="exact"/>
        <w:ind w:firstLine="422" w:firstLineChars="200"/>
        <w:rPr>
          <w:rFonts w:asciiTheme="minorEastAsia" w:hAnsiTheme="minorEastAsia" w:cstheme="minorEastAsia"/>
          <w:b/>
          <w:color w:val="000000" w:themeColor="text1"/>
          <w:szCs w:val="21"/>
          <w:highlight w:val="none"/>
          <w14:textFill>
            <w14:solidFill>
              <w14:schemeClr w14:val="tx1"/>
            </w14:solidFill>
          </w14:textFill>
        </w:rPr>
      </w:pPr>
      <w:r>
        <w:rPr>
          <w:rFonts w:hint="eastAsia" w:asciiTheme="minorEastAsia" w:hAnsiTheme="minorEastAsia" w:cstheme="minorEastAsia"/>
          <w:b/>
          <w:color w:val="000000" w:themeColor="text1"/>
          <w:szCs w:val="21"/>
          <w:highlight w:val="none"/>
          <w14:textFill>
            <w14:solidFill>
              <w14:schemeClr w14:val="tx1"/>
            </w14:solidFill>
          </w14:textFill>
        </w:rPr>
        <w:t>5.2磋商程序</w:t>
      </w:r>
    </w:p>
    <w:p w14:paraId="773AF7A2">
      <w:pPr>
        <w:spacing w:line="440" w:lineRule="exact"/>
        <w:ind w:firstLine="422" w:firstLineChars="200"/>
        <w:rPr>
          <w:rFonts w:asciiTheme="minorEastAsia" w:hAnsiTheme="minorEastAsia" w:cstheme="minorEastAsia"/>
          <w:b/>
          <w:color w:val="FF0000"/>
          <w:szCs w:val="21"/>
          <w:highlight w:val="none"/>
        </w:rPr>
      </w:pPr>
      <w:r>
        <w:rPr>
          <w:rFonts w:hint="eastAsia" w:asciiTheme="minorEastAsia" w:hAnsiTheme="minorEastAsia" w:cstheme="minorEastAsia"/>
          <w:b/>
          <w:color w:val="FF0000"/>
          <w:szCs w:val="21"/>
          <w:highlight w:val="none"/>
        </w:rPr>
        <w:t>本次磋商程序采用：本次磋商程序设置二轮报价。</w:t>
      </w:r>
    </w:p>
    <w:p w14:paraId="71E1FB6F">
      <w:pPr>
        <w:pStyle w:val="4"/>
        <w:spacing w:before="20" w:after="20" w:line="360" w:lineRule="auto"/>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w:t>
      </w:r>
      <w:bookmarkEnd w:id="82"/>
      <w:bookmarkEnd w:id="83"/>
      <w:r>
        <w:rPr>
          <w:rFonts w:hint="eastAsia" w:asciiTheme="minorEastAsia" w:hAnsiTheme="minorEastAsia" w:eastAsiaTheme="minorEastAsia" w:cstheme="minorEastAsia"/>
          <w:sz w:val="21"/>
          <w:szCs w:val="21"/>
          <w:highlight w:val="none"/>
        </w:rPr>
        <w:t>磋 商</w:t>
      </w:r>
      <w:bookmarkEnd w:id="84"/>
      <w:bookmarkEnd w:id="85"/>
    </w:p>
    <w:p w14:paraId="28A208F4">
      <w:pPr>
        <w:spacing w:line="440" w:lineRule="exact"/>
        <w:ind w:firstLine="435"/>
        <w:rPr>
          <w:rFonts w:asciiTheme="minorEastAsia" w:hAnsiTheme="minorEastAsia" w:cstheme="minorEastAsia"/>
          <w:b/>
          <w:color w:val="000000" w:themeColor="text1"/>
          <w:szCs w:val="21"/>
          <w:highlight w:val="none"/>
          <w14:textFill>
            <w14:solidFill>
              <w14:schemeClr w14:val="tx1"/>
            </w14:solidFill>
          </w14:textFill>
        </w:rPr>
      </w:pPr>
      <w:bookmarkStart w:id="86" w:name="_Toc24553"/>
      <w:bookmarkStart w:id="87" w:name="_Toc448070718"/>
      <w:bookmarkStart w:id="88" w:name="_Toc9575"/>
      <w:bookmarkStart w:id="89" w:name="_Toc29526"/>
      <w:r>
        <w:rPr>
          <w:rFonts w:hint="eastAsia" w:asciiTheme="minorEastAsia" w:hAnsiTheme="minorEastAsia" w:cstheme="minorEastAsia"/>
          <w:b/>
          <w:color w:val="000000" w:themeColor="text1"/>
          <w:szCs w:val="21"/>
          <w:highlight w:val="none"/>
          <w14:textFill>
            <w14:solidFill>
              <w14:schemeClr w14:val="tx1"/>
            </w14:solidFill>
          </w14:textFill>
        </w:rPr>
        <w:t>6.1磋商小组</w:t>
      </w:r>
    </w:p>
    <w:p w14:paraId="1A48563A">
      <w:pPr>
        <w:pStyle w:val="24"/>
        <w:spacing w:before="0" w:beforeAutospacing="0" w:after="0" w:afterAutospacing="0" w:line="440" w:lineRule="exact"/>
        <w:ind w:firstLine="420" w:firstLineChars="200"/>
        <w:jc w:val="both"/>
        <w:rPr>
          <w:rFonts w:asciiTheme="minorEastAsia" w:hAnsi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14:textFill>
            <w14:solidFill>
              <w14:schemeClr w14:val="tx1"/>
            </w14:solidFill>
          </w14:textFill>
        </w:rPr>
        <w:t>6.1.1 磋商由采购人依法组建的磋商小组负责。磋商小组由采购人熟悉相关业务的代表，以及有关技术、经济等方面的专家组成。磋商小组成员人数3人及以上。磋商小组成员的名单在成交结果确定前应当保密。</w:t>
      </w:r>
    </w:p>
    <w:p w14:paraId="58E9BDDE">
      <w:pPr>
        <w:spacing w:line="440" w:lineRule="exact"/>
        <w:ind w:firstLine="420" w:firstLineChars="200"/>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6.1.2 有下列情形之一的，不得担任磋商小组成员：</w:t>
      </w:r>
    </w:p>
    <w:p w14:paraId="051D5D0F">
      <w:pPr>
        <w:spacing w:line="440" w:lineRule="exact"/>
        <w:ind w:firstLine="420" w:firstLineChars="200"/>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(1）供应商或供应商的主要负责人的近亲属。</w:t>
      </w:r>
    </w:p>
    <w:p w14:paraId="4E4D6781">
      <w:pPr>
        <w:spacing w:line="440" w:lineRule="exact"/>
        <w:ind w:firstLine="420" w:firstLineChars="200"/>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(2）与供应商有经济利益关系，可能影响对响应公正评审的。</w:t>
      </w:r>
    </w:p>
    <w:p w14:paraId="321430E0">
      <w:pPr>
        <w:spacing w:line="440" w:lineRule="exact"/>
        <w:ind w:firstLine="420" w:firstLineChars="200"/>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(3）曾因在采购响应文件、评审以及其他与采购响应有关活动中从事违法行为而受过行政处罚或刑事处罚的。</w:t>
      </w:r>
    </w:p>
    <w:p w14:paraId="4B127EA2">
      <w:pPr>
        <w:spacing w:line="440" w:lineRule="exact"/>
        <w:ind w:firstLine="420" w:firstLineChars="200"/>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磋商小组成员有前款情形之一的，应当主动提出回避。</w:t>
      </w:r>
    </w:p>
    <w:p w14:paraId="56B8BD2D">
      <w:pPr>
        <w:spacing w:line="440" w:lineRule="exact"/>
        <w:ind w:firstLine="422" w:firstLineChars="200"/>
        <w:rPr>
          <w:rFonts w:asciiTheme="minorEastAsia" w:hAnsiTheme="minorEastAsia" w:cstheme="minorEastAsia"/>
          <w:b/>
          <w:color w:val="000000" w:themeColor="text1"/>
          <w:szCs w:val="21"/>
          <w:highlight w:val="none"/>
          <w14:textFill>
            <w14:solidFill>
              <w14:schemeClr w14:val="tx1"/>
            </w14:solidFill>
          </w14:textFill>
        </w:rPr>
      </w:pPr>
      <w:r>
        <w:rPr>
          <w:rFonts w:hint="eastAsia" w:asciiTheme="minorEastAsia" w:hAnsiTheme="minorEastAsia" w:cstheme="minorEastAsia"/>
          <w:b/>
          <w:color w:val="000000" w:themeColor="text1"/>
          <w:szCs w:val="21"/>
          <w:highlight w:val="none"/>
          <w14:textFill>
            <w14:solidFill>
              <w14:schemeClr w14:val="tx1"/>
            </w14:solidFill>
          </w14:textFill>
        </w:rPr>
        <w:t>6.2磋商原则</w:t>
      </w:r>
    </w:p>
    <w:p w14:paraId="16A93A30">
      <w:pPr>
        <w:spacing w:line="440" w:lineRule="exact"/>
        <w:ind w:firstLine="435"/>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 xml:space="preserve"> 磋商活动遵循公平、公正、科学和择优的原则。</w:t>
      </w:r>
    </w:p>
    <w:p w14:paraId="10B8003E">
      <w:pPr>
        <w:spacing w:line="440" w:lineRule="exact"/>
        <w:ind w:firstLine="435"/>
        <w:rPr>
          <w:rFonts w:asciiTheme="minorEastAsia" w:hAnsiTheme="minorEastAsia" w:cstheme="minorEastAsia"/>
          <w:b/>
          <w:color w:val="000000" w:themeColor="text1"/>
          <w:szCs w:val="21"/>
          <w:highlight w:val="none"/>
          <w14:textFill>
            <w14:solidFill>
              <w14:schemeClr w14:val="tx1"/>
            </w14:solidFill>
          </w14:textFill>
        </w:rPr>
      </w:pPr>
      <w:r>
        <w:rPr>
          <w:rFonts w:hint="eastAsia" w:asciiTheme="minorEastAsia" w:hAnsiTheme="minorEastAsia" w:cstheme="minorEastAsia"/>
          <w:b/>
          <w:color w:val="000000" w:themeColor="text1"/>
          <w:szCs w:val="21"/>
          <w:highlight w:val="none"/>
          <w14:textFill>
            <w14:solidFill>
              <w14:schemeClr w14:val="tx1"/>
            </w14:solidFill>
          </w14:textFill>
        </w:rPr>
        <w:t>6.3评审</w:t>
      </w:r>
    </w:p>
    <w:p w14:paraId="77C27E23">
      <w:pPr>
        <w:spacing w:line="440" w:lineRule="exact"/>
        <w:ind w:firstLine="435"/>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磋商按照第三章“磋商办法”规定的方法、评审因素、标准和程序对竞争性磋商响应文件进行评审。第三章“磋商办法”没有规定的方法、评审因素和标准，不作为评审依据。</w:t>
      </w:r>
    </w:p>
    <w:p w14:paraId="68E1EA37">
      <w:pPr>
        <w:pStyle w:val="4"/>
        <w:spacing w:before="20" w:after="20" w:line="360" w:lineRule="auto"/>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7．合同授予</w:t>
      </w:r>
      <w:bookmarkEnd w:id="86"/>
      <w:bookmarkEnd w:id="87"/>
      <w:bookmarkEnd w:id="88"/>
      <w:bookmarkEnd w:id="89"/>
    </w:p>
    <w:p w14:paraId="50140313">
      <w:pPr>
        <w:spacing w:line="460" w:lineRule="exact"/>
        <w:ind w:firstLine="435"/>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 xml:space="preserve"> 7.1合同授予标准</w:t>
      </w:r>
    </w:p>
    <w:p w14:paraId="4789CF59">
      <w:pPr>
        <w:spacing w:line="440" w:lineRule="exact"/>
        <w:ind w:firstLine="549"/>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7.1.1如无特殊原因和情况，磋商小组将对实质上响应</w:t>
      </w:r>
      <w:r>
        <w:rPr>
          <w:rFonts w:hint="eastAsia" w:asciiTheme="minorEastAsia" w:hAnsiTheme="minorEastAsia" w:eastAsiaTheme="minorEastAsia" w:cstheme="minorEastAsia"/>
          <w:szCs w:val="21"/>
          <w:highlight w:val="none"/>
          <w:lang w:eastAsia="zh-CN"/>
        </w:rPr>
        <w:t>磋商文件</w:t>
      </w:r>
      <w:r>
        <w:rPr>
          <w:rFonts w:hint="eastAsia" w:asciiTheme="minorEastAsia" w:hAnsiTheme="minorEastAsia" w:eastAsiaTheme="minorEastAsia" w:cstheme="minorEastAsia"/>
          <w:szCs w:val="21"/>
          <w:highlight w:val="none"/>
        </w:rPr>
        <w:t>要求的供应商按照</w:t>
      </w:r>
      <w:r>
        <w:rPr>
          <w:rFonts w:hint="eastAsia" w:asciiTheme="minorEastAsia" w:hAnsiTheme="minorEastAsia" w:eastAsiaTheme="minorEastAsia" w:cstheme="minorEastAsia"/>
          <w:szCs w:val="21"/>
          <w:highlight w:val="none"/>
          <w:lang w:eastAsia="zh-CN"/>
        </w:rPr>
        <w:t>磋商文件</w:t>
      </w:r>
      <w:r>
        <w:rPr>
          <w:rFonts w:hint="eastAsia" w:asciiTheme="minorEastAsia" w:hAnsiTheme="minorEastAsia" w:eastAsiaTheme="minorEastAsia" w:cstheme="minorEastAsia"/>
          <w:szCs w:val="21"/>
          <w:highlight w:val="none"/>
        </w:rPr>
        <w:t>规定的办法确定成交人。买方将把合同授予实质上响应</w:t>
      </w:r>
      <w:r>
        <w:rPr>
          <w:rFonts w:hint="eastAsia" w:asciiTheme="minorEastAsia" w:hAnsiTheme="minorEastAsia" w:eastAsiaTheme="minorEastAsia" w:cstheme="minorEastAsia"/>
          <w:szCs w:val="21"/>
          <w:highlight w:val="none"/>
          <w:lang w:eastAsia="zh-CN"/>
        </w:rPr>
        <w:t>磋商文件</w:t>
      </w:r>
      <w:r>
        <w:rPr>
          <w:rFonts w:hint="eastAsia" w:asciiTheme="minorEastAsia" w:hAnsiTheme="minorEastAsia" w:eastAsiaTheme="minorEastAsia" w:cstheme="minorEastAsia"/>
          <w:szCs w:val="21"/>
          <w:highlight w:val="none"/>
        </w:rPr>
        <w:t>要求的、报价合理的成交推荐单位。</w:t>
      </w:r>
    </w:p>
    <w:p w14:paraId="6DC68D9C">
      <w:pPr>
        <w:spacing w:line="440" w:lineRule="exact"/>
        <w:ind w:firstLine="549"/>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7.1.2成交公告</w:t>
      </w:r>
    </w:p>
    <w:p w14:paraId="3DF57A31">
      <w:pPr>
        <w:spacing w:line="440" w:lineRule="exact"/>
        <w:ind w:firstLine="549"/>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成交公告将在</w:t>
      </w:r>
      <w:r>
        <w:rPr>
          <w:rFonts w:hint="eastAsia" w:asciiTheme="minorEastAsia" w:hAnsiTheme="minorEastAsia" w:eastAsiaTheme="minorEastAsia" w:cstheme="minorEastAsia"/>
          <w:szCs w:val="21"/>
          <w:highlight w:val="none"/>
          <w:lang w:eastAsia="zh-CN"/>
        </w:rPr>
        <w:t>巢湖学院官</w:t>
      </w:r>
      <w:r>
        <w:rPr>
          <w:rFonts w:hint="eastAsia" w:asciiTheme="minorEastAsia" w:hAnsiTheme="minorEastAsia" w:eastAsiaTheme="minorEastAsia" w:cstheme="minorEastAsia"/>
          <w:szCs w:val="21"/>
          <w:highlight w:val="none"/>
        </w:rPr>
        <w:t>网（https://www.chu.edu.cn/）</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安徽省招标投标信息网（http://www.ahtba.org.cn/）</w:t>
      </w:r>
      <w:r>
        <w:rPr>
          <w:rFonts w:hint="eastAsia" w:asciiTheme="minorEastAsia" w:hAnsiTheme="minorEastAsia" w:eastAsiaTheme="minorEastAsia" w:cstheme="minorEastAsia"/>
          <w:szCs w:val="21"/>
          <w:highlight w:val="none"/>
          <w:lang w:eastAsia="zh-CN"/>
        </w:rPr>
        <w:t>、华采招标集团有限公司网站（http://www.bjhczb.com/）</w:t>
      </w:r>
      <w:r>
        <w:rPr>
          <w:rFonts w:hint="eastAsia" w:asciiTheme="minorEastAsia" w:hAnsiTheme="minorEastAsia" w:eastAsiaTheme="minorEastAsia" w:cstheme="minorEastAsia"/>
          <w:szCs w:val="21"/>
          <w:highlight w:val="none"/>
        </w:rPr>
        <w:t>上公示。</w:t>
      </w:r>
    </w:p>
    <w:p w14:paraId="75FC80B3">
      <w:pPr>
        <w:spacing w:line="440" w:lineRule="exact"/>
        <w:ind w:firstLine="549"/>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7.1.3磋商结束后根据需要，有可能对成交人进行考察。在考察过程中，发现有弄虚作假、业绩不实、挂靠、违法转包等行为的，取消其成交人资格。</w:t>
      </w:r>
    </w:p>
    <w:p w14:paraId="3CD2002E">
      <w:pPr>
        <w:spacing w:line="440" w:lineRule="exact"/>
        <w:ind w:firstLine="549"/>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7.1.4最低报价并不是被授予合同的保证。</w:t>
      </w:r>
    </w:p>
    <w:p w14:paraId="6FE3CD79">
      <w:pPr>
        <w:spacing w:line="460" w:lineRule="exact"/>
        <w:ind w:firstLine="435"/>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7.2成交通知书</w:t>
      </w:r>
    </w:p>
    <w:p w14:paraId="0AB6B378">
      <w:pPr>
        <w:spacing w:line="440" w:lineRule="exact"/>
        <w:ind w:firstLine="549"/>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7.2.1在响应有效期满之前将以书面形式通知成交人，其响应已被接受。</w:t>
      </w:r>
    </w:p>
    <w:p w14:paraId="6B6865B4">
      <w:pPr>
        <w:spacing w:line="440" w:lineRule="exact"/>
        <w:ind w:firstLine="549"/>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7.2.2采购人将不对成交和未成交的原因作任何解释。</w:t>
      </w:r>
    </w:p>
    <w:p w14:paraId="28D2C2F3">
      <w:pPr>
        <w:spacing w:line="440" w:lineRule="exact"/>
        <w:ind w:firstLine="549"/>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7.3签订合同</w:t>
      </w:r>
    </w:p>
    <w:p w14:paraId="621A23C4">
      <w:pPr>
        <w:spacing w:line="440" w:lineRule="exact"/>
        <w:ind w:firstLine="549"/>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7.3.1成交人应在成交通知书发出</w:t>
      </w:r>
      <w:r>
        <w:rPr>
          <w:rFonts w:hint="eastAsia" w:asciiTheme="minorEastAsia" w:hAnsiTheme="minorEastAsia" w:eastAsiaTheme="minorEastAsia" w:cstheme="minorEastAsia"/>
          <w:b/>
          <w:snapToGrid w:val="0"/>
          <w:szCs w:val="21"/>
          <w:highlight w:val="none"/>
        </w:rPr>
        <w:t>（电子邮件和电话通知时间视为成交通知书已发出，成交人须在7个工作日内领取纸质版成交通知书）</w:t>
      </w:r>
      <w:r>
        <w:rPr>
          <w:rFonts w:hint="eastAsia" w:asciiTheme="minorEastAsia" w:hAnsiTheme="minorEastAsia" w:eastAsiaTheme="minorEastAsia" w:cstheme="minorEastAsia"/>
          <w:szCs w:val="21"/>
          <w:highlight w:val="none"/>
        </w:rPr>
        <w:t>之日起</w:t>
      </w:r>
      <w:r>
        <w:rPr>
          <w:rFonts w:hint="eastAsia" w:asciiTheme="minorEastAsia" w:hAnsiTheme="minorEastAsia" w:eastAsiaTheme="minorEastAsia" w:cstheme="minorEastAsia"/>
          <w:szCs w:val="21"/>
          <w:highlight w:val="none"/>
          <w:lang w:val="en-US" w:eastAsia="zh-CN"/>
        </w:rPr>
        <w:t>7</w:t>
      </w:r>
      <w:r>
        <w:rPr>
          <w:rFonts w:hint="eastAsia" w:asciiTheme="minorEastAsia" w:hAnsiTheme="minorEastAsia" w:eastAsiaTheme="minorEastAsia" w:cstheme="minorEastAsia"/>
          <w:szCs w:val="21"/>
          <w:highlight w:val="none"/>
        </w:rPr>
        <w:t>个工作日内（具体时间、地点见成交通知书）与采购人签订合同。</w:t>
      </w:r>
      <w:r>
        <w:rPr>
          <w:rFonts w:hint="eastAsia" w:asciiTheme="minorEastAsia" w:hAnsiTheme="minorEastAsia" w:eastAsiaTheme="minorEastAsia" w:cstheme="minorEastAsia"/>
          <w:szCs w:val="21"/>
          <w:highlight w:val="none"/>
          <w:lang w:eastAsia="zh-CN"/>
        </w:rPr>
        <w:t>磋商文件</w:t>
      </w:r>
      <w:r>
        <w:rPr>
          <w:rFonts w:hint="eastAsia" w:asciiTheme="minorEastAsia" w:hAnsiTheme="minorEastAsia" w:eastAsiaTheme="minorEastAsia" w:cstheme="minorEastAsia"/>
          <w:szCs w:val="21"/>
          <w:highlight w:val="none"/>
        </w:rPr>
        <w:t>、成交人的响应文件及澄清文件等，均作为合同的附件。成交人无正当理由拒签合同的，采购人取消其成交资格；给采购人造成的损失的，成交人还应当予以赔偿。</w:t>
      </w:r>
    </w:p>
    <w:p w14:paraId="7CB1F608">
      <w:pPr>
        <w:spacing w:line="440" w:lineRule="exact"/>
        <w:ind w:firstLine="549"/>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rPr>
        <w:t>7.3.2成交人在7.3.1规定的时间内无正当理由拒签合同的，采购人取消其成交资格；采购人有权将按照磋商小组提出的名单排序依次确定其他</w:t>
      </w:r>
      <w:r>
        <w:rPr>
          <w:rFonts w:hint="eastAsia" w:asciiTheme="minorEastAsia" w:hAnsiTheme="minorEastAsia" w:eastAsiaTheme="minorEastAsia" w:cstheme="minorEastAsia"/>
          <w:b/>
          <w:szCs w:val="21"/>
          <w:highlight w:val="none"/>
          <w:lang w:eastAsia="zh-CN"/>
        </w:rPr>
        <w:t>供应商</w:t>
      </w:r>
      <w:r>
        <w:rPr>
          <w:rFonts w:hint="eastAsia" w:asciiTheme="minorEastAsia" w:hAnsiTheme="minorEastAsia" w:eastAsiaTheme="minorEastAsia" w:cstheme="minorEastAsia"/>
          <w:b/>
          <w:szCs w:val="21"/>
          <w:highlight w:val="none"/>
        </w:rPr>
        <w:t>为成交人或者作出流标处理；</w:t>
      </w:r>
    </w:p>
    <w:p w14:paraId="06BB2AAC">
      <w:pPr>
        <w:spacing w:line="440" w:lineRule="exact"/>
        <w:ind w:firstLine="549"/>
        <w:rPr>
          <w:rFonts w:hint="eastAsia" w:asciiTheme="minorEastAsia" w:hAnsiTheme="minorEastAsia" w:eastAsiaTheme="minorEastAsia" w:cstheme="minorEastAsia"/>
          <w:b/>
          <w:szCs w:val="21"/>
          <w:highlight w:val="none"/>
          <w:lang w:val="en-US" w:eastAsia="zh-CN"/>
        </w:rPr>
      </w:pPr>
      <w:r>
        <w:rPr>
          <w:rFonts w:hint="eastAsia" w:asciiTheme="minorEastAsia" w:hAnsiTheme="minorEastAsia" w:eastAsiaTheme="minorEastAsia" w:cstheme="minorEastAsia"/>
          <w:b/>
          <w:szCs w:val="21"/>
          <w:highlight w:val="none"/>
        </w:rPr>
        <w:t>7.4履约保证金</w:t>
      </w:r>
      <w:r>
        <w:rPr>
          <w:rFonts w:hint="eastAsia" w:asciiTheme="minorEastAsia" w:hAnsiTheme="minorEastAsia" w:eastAsiaTheme="minorEastAsia" w:cstheme="minorEastAsia"/>
          <w:b/>
          <w:szCs w:val="21"/>
          <w:highlight w:val="none"/>
          <w:lang w:eastAsia="zh-CN"/>
        </w:rPr>
        <w:t>（本项目不收取）</w:t>
      </w:r>
    </w:p>
    <w:p w14:paraId="0CFE21BC">
      <w:pPr>
        <w:spacing w:line="440" w:lineRule="exact"/>
        <w:ind w:firstLine="549"/>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7.4.1成交人自收到成交通知书之日起5个工作日内向指定账户（成交人需自行与采购人联系，以获得交纳履约担保的账户信息）缴纳履约保证金，待合同履行完毕予以退还，不计利息。</w:t>
      </w:r>
    </w:p>
    <w:p w14:paraId="072199E1">
      <w:pPr>
        <w:spacing w:line="440" w:lineRule="exact"/>
        <w:ind w:firstLine="435"/>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7.4.2如果成交人未按照</w:t>
      </w:r>
      <w:r>
        <w:rPr>
          <w:rFonts w:hint="eastAsia" w:asciiTheme="minorEastAsia" w:hAnsiTheme="minorEastAsia" w:eastAsiaTheme="minorEastAsia" w:cstheme="minorEastAsia"/>
          <w:szCs w:val="21"/>
          <w:highlight w:val="none"/>
          <w:lang w:eastAsia="zh-CN"/>
        </w:rPr>
        <w:t>磋商文件</w:t>
      </w:r>
      <w:r>
        <w:rPr>
          <w:rFonts w:hint="eastAsia" w:asciiTheme="minorEastAsia" w:hAnsiTheme="minorEastAsia" w:eastAsiaTheme="minorEastAsia" w:cstheme="minorEastAsia"/>
          <w:szCs w:val="21"/>
          <w:highlight w:val="none"/>
        </w:rPr>
        <w:t>规定交纳有关费用及履约保证金，采购人有权取消该响应。在此情况下采购人可将该标授予其</w:t>
      </w:r>
      <w:r>
        <w:rPr>
          <w:rFonts w:hint="eastAsia" w:asciiTheme="minorEastAsia" w:hAnsiTheme="minorEastAsia" w:eastAsiaTheme="minorEastAsia" w:cstheme="minorEastAsia"/>
          <w:szCs w:val="21"/>
          <w:highlight w:val="none"/>
          <w:lang w:eastAsia="zh-CN"/>
        </w:rPr>
        <w:t>另</w:t>
      </w:r>
      <w:r>
        <w:rPr>
          <w:rFonts w:hint="eastAsia" w:asciiTheme="minorEastAsia" w:hAnsiTheme="minorEastAsia" w:eastAsiaTheme="minorEastAsia" w:cstheme="minorEastAsia"/>
          <w:szCs w:val="21"/>
          <w:highlight w:val="none"/>
        </w:rPr>
        <w:t>一个成交人，或重新招标。</w:t>
      </w:r>
    </w:p>
    <w:p w14:paraId="4BDFEEAB">
      <w:pPr>
        <w:pStyle w:val="4"/>
        <w:spacing w:before="20" w:after="20" w:line="360" w:lineRule="auto"/>
        <w:rPr>
          <w:rFonts w:asciiTheme="minorEastAsia" w:hAnsiTheme="minorEastAsia" w:eastAsiaTheme="minorEastAsia" w:cstheme="minorEastAsia"/>
          <w:sz w:val="21"/>
          <w:szCs w:val="21"/>
          <w:highlight w:val="none"/>
        </w:rPr>
      </w:pPr>
      <w:bookmarkStart w:id="90" w:name="_Toc17002"/>
      <w:bookmarkStart w:id="91" w:name="_Toc448070719"/>
      <w:bookmarkStart w:id="92" w:name="_Toc18742"/>
      <w:bookmarkStart w:id="93" w:name="_Toc18156"/>
      <w:r>
        <w:rPr>
          <w:rFonts w:hint="eastAsia" w:asciiTheme="minorEastAsia" w:hAnsiTheme="minorEastAsia" w:eastAsiaTheme="minorEastAsia" w:cstheme="minorEastAsia"/>
          <w:sz w:val="21"/>
          <w:szCs w:val="21"/>
          <w:highlight w:val="none"/>
        </w:rPr>
        <w:t>8．重新采购</w:t>
      </w:r>
      <w:bookmarkEnd w:id="90"/>
      <w:bookmarkEnd w:id="91"/>
      <w:bookmarkEnd w:id="92"/>
      <w:bookmarkEnd w:id="93"/>
    </w:p>
    <w:p w14:paraId="4EAE3FF7">
      <w:pPr>
        <w:spacing w:line="440" w:lineRule="exact"/>
        <w:ind w:firstLine="413" w:firstLineChars="196"/>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8.1重新采购</w:t>
      </w:r>
    </w:p>
    <w:p w14:paraId="453A94C0">
      <w:pPr>
        <w:spacing w:line="44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1、有下列情形之一的，将对该项目重新采购：</w:t>
      </w:r>
    </w:p>
    <w:p w14:paraId="63650086">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(1)响应截止时，供应商少于3个的。</w:t>
      </w:r>
    </w:p>
    <w:p w14:paraId="280CB8D4">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(2)经磋商小组评审后否决所有响应的。</w:t>
      </w:r>
    </w:p>
    <w:p w14:paraId="7B79EF20">
      <w:pPr>
        <w:spacing w:line="440" w:lineRule="exact"/>
        <w:ind w:firstLine="48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2、重新采购后供应商仍少于3个或者所有响应被否决的，属于必须审批或核准的采购项目，经原审批或核准部门批准后可以单一来源方式进行采购。</w:t>
      </w:r>
    </w:p>
    <w:p w14:paraId="75198CCD">
      <w:pPr>
        <w:pStyle w:val="4"/>
        <w:spacing w:before="20" w:after="20" w:line="360" w:lineRule="auto"/>
        <w:rPr>
          <w:rFonts w:asciiTheme="minorEastAsia" w:hAnsiTheme="minorEastAsia" w:eastAsiaTheme="minorEastAsia" w:cstheme="minorEastAsia"/>
          <w:sz w:val="21"/>
          <w:szCs w:val="21"/>
          <w:highlight w:val="none"/>
        </w:rPr>
      </w:pPr>
      <w:bookmarkStart w:id="94" w:name="_Toc10055"/>
      <w:bookmarkStart w:id="95" w:name="_Toc22868"/>
      <w:r>
        <w:rPr>
          <w:rFonts w:hint="eastAsia" w:asciiTheme="minorEastAsia" w:hAnsiTheme="minorEastAsia" w:eastAsiaTheme="minorEastAsia" w:cstheme="minorEastAsia"/>
          <w:sz w:val="21"/>
          <w:szCs w:val="21"/>
          <w:highlight w:val="none"/>
        </w:rPr>
        <w:t>9．知识产权</w:t>
      </w:r>
      <w:bookmarkEnd w:id="94"/>
      <w:bookmarkEnd w:id="95"/>
    </w:p>
    <w:p w14:paraId="20A0E18B">
      <w:pPr>
        <w:spacing w:line="440" w:lineRule="exact"/>
        <w:ind w:firstLine="48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供应商必须保证，采购人在中华人民共和国境内使用响应货物、资料、技术、服务或其任何一部分时，享有不受限制的无偿使用权，如有第三方向采购人提出侵犯其专利权、商标权或其它知识产权的主张，该责任应由供应商承担。</w:t>
      </w:r>
    </w:p>
    <w:p w14:paraId="3BDF33DF">
      <w:pPr>
        <w:spacing w:line="440" w:lineRule="exact"/>
        <w:ind w:firstLine="48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（2）响应报价应包含所有应向所有权人支付的专利权、商标权或其它知识产权的一切相关费用。</w:t>
      </w:r>
    </w:p>
    <w:p w14:paraId="51BA7872">
      <w:pPr>
        <w:spacing w:line="440" w:lineRule="exact"/>
        <w:ind w:firstLine="48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（3）系统软件、通用软件必须是具有在中国境内的合法使用权或版权的正版软件，涉及到第三方提出侵权或知识产权的起诉及支付版税等费用由供应商承担所有责任及费用。</w:t>
      </w:r>
    </w:p>
    <w:p w14:paraId="691F190F">
      <w:pPr>
        <w:pStyle w:val="4"/>
        <w:spacing w:before="20" w:after="20" w:line="360" w:lineRule="auto"/>
        <w:rPr>
          <w:rFonts w:asciiTheme="minorEastAsia" w:hAnsiTheme="minorEastAsia" w:eastAsiaTheme="minorEastAsia" w:cstheme="minorEastAsia"/>
          <w:sz w:val="21"/>
          <w:szCs w:val="21"/>
          <w:highlight w:val="none"/>
        </w:rPr>
      </w:pPr>
      <w:bookmarkStart w:id="96" w:name="_Toc23111"/>
      <w:bookmarkStart w:id="97" w:name="_Toc17119"/>
      <w:bookmarkStart w:id="98" w:name="_Toc22291"/>
      <w:bookmarkStart w:id="99" w:name="_Toc448070720"/>
      <w:r>
        <w:rPr>
          <w:rFonts w:hint="eastAsia" w:asciiTheme="minorEastAsia" w:hAnsiTheme="minorEastAsia" w:eastAsiaTheme="minorEastAsia" w:cstheme="minorEastAsia"/>
          <w:sz w:val="21"/>
          <w:szCs w:val="21"/>
          <w:highlight w:val="none"/>
        </w:rPr>
        <w:t>10．纪律和监督</w:t>
      </w:r>
      <w:bookmarkEnd w:id="96"/>
      <w:bookmarkEnd w:id="97"/>
      <w:bookmarkEnd w:id="98"/>
      <w:bookmarkEnd w:id="99"/>
    </w:p>
    <w:p w14:paraId="3AEF51FE">
      <w:pPr>
        <w:spacing w:line="440" w:lineRule="exact"/>
        <w:ind w:firstLine="207" w:firstLineChars="98"/>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rPr>
        <w:t xml:space="preserve"> 10．1对采购人的纪律要求</w:t>
      </w:r>
    </w:p>
    <w:p w14:paraId="54289CC6">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采购人不得泄漏采购响应活动中应当保密的情况和资料，不得与供应商串通损害国家利益、社会公共利益或者他人合法权益。</w:t>
      </w:r>
    </w:p>
    <w:p w14:paraId="0828754C">
      <w:pPr>
        <w:spacing w:line="440" w:lineRule="exact"/>
        <w:ind w:firstLine="422" w:firstLineChars="200"/>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10.2对供应商的纪律要求</w:t>
      </w:r>
    </w:p>
    <w:p w14:paraId="1CE461AC">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不得相互串通响应或者与采购人串通响应，不得与磋商小组成员串通谋取成交，不得以他人名义响应或者以其他方式弄虚作假骗取成交；供应商不得以任何方式干扰、影响磋商工作。参加磋商会人员：本项目的授权委托人或法定代表人（负责人），以上人员须按时到场参加磋商会，否则响应文件不予评审。</w:t>
      </w:r>
    </w:p>
    <w:p w14:paraId="1552D497">
      <w:pPr>
        <w:spacing w:line="440" w:lineRule="exact"/>
        <w:ind w:firstLine="413" w:firstLineChars="196"/>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10.3对磋商小组成员的纪律要求</w:t>
      </w:r>
    </w:p>
    <w:p w14:paraId="50786ADD">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磋商小组成员不得与采购人或者供应商串通，滥用职权影响对响应文件的客观公正评审，磋商小组成员不得收受他人的财物或者其他好处，不得向他人透漏对响应文件的评审和比较、成交人的推荐情况以及磋商有关的其他情况。在磋商活动中，磋商小组成员不得擅离职守，影响磋商程序正常进行。</w:t>
      </w:r>
    </w:p>
    <w:p w14:paraId="35B591E1">
      <w:pPr>
        <w:spacing w:line="440" w:lineRule="exact"/>
        <w:ind w:firstLine="422" w:firstLineChars="200"/>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10.4对与磋商活动有关的工作人员的纪律要求</w:t>
      </w:r>
    </w:p>
    <w:p w14:paraId="3CD89A11">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与磋商活动有关的工作人员不得收受他人的财物或者其他好处，不得向他人透漏对响应文件的评审和比较、成交人的推荐情况以及磋商有关的其他情况。在磋商活动中，与磋商活动有关的工作人员不得擅离职守，影响磋商程序正常进行。</w:t>
      </w:r>
    </w:p>
    <w:p w14:paraId="2AFB0976">
      <w:pPr>
        <w:spacing w:line="360" w:lineRule="auto"/>
        <w:ind w:firstLine="105" w:firstLineChars="50"/>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 xml:space="preserve"> 10.5异议、投诉</w:t>
      </w:r>
    </w:p>
    <w:p w14:paraId="18AE1CA2">
      <w:pPr>
        <w:snapToGrid w:val="0"/>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10.5.1、受理异议（质疑）的联系方式：</w:t>
      </w:r>
    </w:p>
    <w:p w14:paraId="0034385A">
      <w:pPr>
        <w:snapToGrid w:val="0"/>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采购人：</w:t>
      </w:r>
      <w:r>
        <w:rPr>
          <w:rFonts w:hint="eastAsia" w:asciiTheme="minorEastAsia" w:hAnsiTheme="minorEastAsia" w:eastAsiaTheme="minorEastAsia" w:cstheme="minorEastAsia"/>
          <w:bCs/>
          <w:szCs w:val="21"/>
          <w:highlight w:val="none"/>
          <w:lang w:eastAsia="zh-CN"/>
        </w:rPr>
        <w:t>巢湖学院</w:t>
      </w:r>
      <w:r>
        <w:rPr>
          <w:rFonts w:hint="eastAsia" w:asciiTheme="minorEastAsia" w:hAnsiTheme="minorEastAsia" w:eastAsiaTheme="minorEastAsia" w:cstheme="minorEastAsia"/>
          <w:bCs/>
          <w:szCs w:val="21"/>
          <w:highlight w:val="none"/>
        </w:rPr>
        <w:t xml:space="preserve">                      </w:t>
      </w:r>
    </w:p>
    <w:p w14:paraId="1F42372D">
      <w:pPr>
        <w:snapToGrid w:val="0"/>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地  址： 安徽省巢湖经济开发区半汤路一号</w:t>
      </w:r>
    </w:p>
    <w:p w14:paraId="52AA7935">
      <w:pPr>
        <w:snapToGrid w:val="0"/>
        <w:spacing w:line="360" w:lineRule="auto"/>
        <w:ind w:firstLine="420" w:firstLineChars="200"/>
        <w:rPr>
          <w:rFonts w:hint="eastAsia" w:ascii="宋体" w:hAnsi="宋体" w:eastAsia="宋体"/>
          <w:color w:val="000000"/>
          <w:szCs w:val="18"/>
          <w:highlight w:val="none"/>
          <w:lang w:eastAsia="zh-CN"/>
        </w:rPr>
      </w:pPr>
      <w:r>
        <w:rPr>
          <w:rFonts w:hint="eastAsia" w:asciiTheme="minorEastAsia" w:hAnsiTheme="minorEastAsia" w:eastAsiaTheme="minorEastAsia" w:cstheme="minorEastAsia"/>
          <w:bCs/>
          <w:szCs w:val="21"/>
          <w:highlight w:val="none"/>
        </w:rPr>
        <w:t>电话：</w:t>
      </w:r>
      <w:r>
        <w:rPr>
          <w:rFonts w:hint="eastAsia" w:ascii="宋体" w:hAnsi="宋体"/>
          <w:kern w:val="0"/>
          <w:sz w:val="23"/>
          <w:szCs w:val="23"/>
          <w:highlight w:val="none"/>
        </w:rPr>
        <w:t>0551-</w:t>
      </w:r>
      <w:r>
        <w:rPr>
          <w:rFonts w:hint="eastAsia" w:ascii="宋体" w:hAnsi="宋体"/>
          <w:kern w:val="0"/>
          <w:sz w:val="23"/>
          <w:szCs w:val="23"/>
          <w:highlight w:val="none"/>
          <w:lang w:eastAsia="zh-CN"/>
        </w:rPr>
        <w:t>82362702</w:t>
      </w:r>
    </w:p>
    <w:p w14:paraId="4D0FA823">
      <w:pPr>
        <w:snapToGrid w:val="0"/>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szCs w:val="21"/>
          <w:highlight w:val="none"/>
        </w:rPr>
        <w:t>代理机构：</w:t>
      </w:r>
      <w:r>
        <w:rPr>
          <w:rFonts w:hint="eastAsia" w:asciiTheme="minorEastAsia" w:hAnsiTheme="minorEastAsia" w:eastAsiaTheme="minorEastAsia" w:cstheme="minorEastAsia"/>
          <w:szCs w:val="21"/>
          <w:highlight w:val="none"/>
          <w:lang w:eastAsia="zh-CN"/>
        </w:rPr>
        <w:t>华采招标集团有限公司</w:t>
      </w:r>
      <w:r>
        <w:rPr>
          <w:rFonts w:hint="eastAsia" w:asciiTheme="minorEastAsia" w:hAnsiTheme="minorEastAsia" w:eastAsiaTheme="minorEastAsia" w:cstheme="minorEastAsia"/>
          <w:szCs w:val="21"/>
          <w:highlight w:val="none"/>
        </w:rPr>
        <w:t xml:space="preserve">                              </w:t>
      </w:r>
    </w:p>
    <w:p w14:paraId="5BD58818">
      <w:pPr>
        <w:snapToGrid w:val="0"/>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地址：合肥市包河区宿松路与南二环交叉口绿地中心B座14楼</w:t>
      </w:r>
    </w:p>
    <w:p w14:paraId="7573961A">
      <w:pPr>
        <w:snapToGrid w:val="0"/>
        <w:spacing w:line="360" w:lineRule="auto"/>
        <w:ind w:firstLine="420" w:firstLineChars="200"/>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rPr>
        <w:t>联系人：</w:t>
      </w:r>
      <w:r>
        <w:rPr>
          <w:rFonts w:hint="eastAsia" w:asciiTheme="minorEastAsia" w:hAnsiTheme="minorEastAsia" w:eastAsiaTheme="minorEastAsia" w:cstheme="minorEastAsia"/>
          <w:bCs/>
          <w:szCs w:val="21"/>
          <w:highlight w:val="none"/>
          <w:lang w:eastAsia="zh-CN"/>
        </w:rPr>
        <w:t>王女士</w:t>
      </w:r>
    </w:p>
    <w:p w14:paraId="4E50C277">
      <w:pPr>
        <w:snapToGrid w:val="0"/>
        <w:spacing w:line="360" w:lineRule="auto"/>
        <w:ind w:firstLine="420" w:firstLineChars="200"/>
        <w:rPr>
          <w:rFonts w:hint="eastAsia" w:eastAsia="宋体" w:asciiTheme="minorEastAsia" w:hAnsiTheme="minorEastAsia" w:cstheme="minorEastAsia"/>
          <w:bCs/>
          <w:szCs w:val="21"/>
          <w:highlight w:val="none"/>
          <w:lang w:eastAsia="zh-CN"/>
        </w:rPr>
      </w:pPr>
      <w:r>
        <w:rPr>
          <w:rFonts w:hint="eastAsia" w:asciiTheme="minorEastAsia" w:hAnsiTheme="minorEastAsia" w:eastAsiaTheme="minorEastAsia" w:cstheme="minorEastAsia"/>
          <w:bCs/>
          <w:szCs w:val="21"/>
          <w:highlight w:val="none"/>
        </w:rPr>
        <w:t>电话：</w:t>
      </w:r>
      <w:r>
        <w:rPr>
          <w:rFonts w:hint="eastAsia" w:ascii="宋体" w:hAnsi="宋体"/>
          <w:color w:val="000000"/>
          <w:szCs w:val="18"/>
          <w:highlight w:val="none"/>
        </w:rPr>
        <w:t xml:space="preserve">0551-62620513  </w:t>
      </w:r>
      <w:r>
        <w:rPr>
          <w:rFonts w:hint="eastAsia" w:ascii="宋体" w:hAnsi="宋体"/>
          <w:color w:val="000000"/>
          <w:szCs w:val="18"/>
          <w:highlight w:val="none"/>
          <w:lang w:eastAsia="zh-CN"/>
        </w:rPr>
        <w:t>13865916101</w:t>
      </w:r>
    </w:p>
    <w:p w14:paraId="0BAD758C">
      <w:pPr>
        <w:snapToGrid w:val="0"/>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邮箱：bjhczhbdlyxgs@163.com</w:t>
      </w:r>
    </w:p>
    <w:p w14:paraId="1A60B004">
      <w:pPr>
        <w:snapToGrid w:val="0"/>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10.5.2、对</w:t>
      </w:r>
      <w:r>
        <w:rPr>
          <w:rFonts w:hint="eastAsia" w:asciiTheme="minorEastAsia" w:hAnsiTheme="minorEastAsia" w:eastAsiaTheme="minorEastAsia" w:cstheme="minorEastAsia"/>
          <w:bCs/>
          <w:szCs w:val="21"/>
          <w:highlight w:val="none"/>
          <w:lang w:eastAsia="zh-CN"/>
        </w:rPr>
        <w:t>磋商文件</w:t>
      </w:r>
      <w:r>
        <w:rPr>
          <w:rFonts w:hint="eastAsia" w:asciiTheme="minorEastAsia" w:hAnsiTheme="minorEastAsia" w:eastAsiaTheme="minorEastAsia" w:cstheme="minorEastAsia"/>
          <w:bCs/>
          <w:szCs w:val="21"/>
          <w:highlight w:val="none"/>
        </w:rPr>
        <w:t>的异议（质疑）：</w:t>
      </w:r>
    </w:p>
    <w:p w14:paraId="0DB811CE">
      <w:pPr>
        <w:snapToGrid w:val="0"/>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供应商未在本</w:t>
      </w:r>
      <w:r>
        <w:rPr>
          <w:rFonts w:hint="eastAsia" w:asciiTheme="minorEastAsia" w:hAnsiTheme="minorEastAsia" w:eastAsiaTheme="minorEastAsia" w:cstheme="minorEastAsia"/>
          <w:bCs/>
          <w:szCs w:val="21"/>
          <w:highlight w:val="none"/>
          <w:lang w:eastAsia="zh-CN"/>
        </w:rPr>
        <w:t>磋商文件</w:t>
      </w:r>
      <w:r>
        <w:rPr>
          <w:rFonts w:hint="eastAsia" w:asciiTheme="minorEastAsia" w:hAnsiTheme="minorEastAsia" w:eastAsiaTheme="minorEastAsia" w:cstheme="minorEastAsia"/>
          <w:bCs/>
          <w:szCs w:val="21"/>
          <w:highlight w:val="none"/>
        </w:rPr>
        <w:t>规定的时间内提出澄清要求或未在</w:t>
      </w:r>
      <w:r>
        <w:rPr>
          <w:rFonts w:hint="eastAsia" w:asciiTheme="minorEastAsia" w:hAnsiTheme="minorEastAsia" w:eastAsiaTheme="minorEastAsia" w:cstheme="minorEastAsia"/>
          <w:bCs/>
          <w:szCs w:val="21"/>
          <w:highlight w:val="none"/>
          <w:lang w:eastAsia="zh-CN"/>
        </w:rPr>
        <w:t>磋商文件</w:t>
      </w:r>
      <w:r>
        <w:rPr>
          <w:rFonts w:hint="eastAsia" w:asciiTheme="minorEastAsia" w:hAnsiTheme="minorEastAsia" w:eastAsiaTheme="minorEastAsia" w:cstheme="minorEastAsia"/>
          <w:bCs/>
          <w:szCs w:val="21"/>
          <w:highlight w:val="none"/>
        </w:rPr>
        <w:t>规定时间前提出异议（质疑）的，视为其对本</w:t>
      </w:r>
      <w:r>
        <w:rPr>
          <w:rFonts w:hint="eastAsia" w:asciiTheme="minorEastAsia" w:hAnsiTheme="minorEastAsia" w:eastAsiaTheme="minorEastAsia" w:cstheme="minorEastAsia"/>
          <w:bCs/>
          <w:szCs w:val="21"/>
          <w:highlight w:val="none"/>
          <w:lang w:eastAsia="zh-CN"/>
        </w:rPr>
        <w:t>磋商文件</w:t>
      </w:r>
      <w:r>
        <w:rPr>
          <w:rFonts w:hint="eastAsia" w:asciiTheme="minorEastAsia" w:hAnsiTheme="minorEastAsia" w:eastAsiaTheme="minorEastAsia" w:cstheme="minorEastAsia"/>
          <w:bCs/>
          <w:szCs w:val="21"/>
          <w:highlight w:val="none"/>
        </w:rPr>
        <w:t>无异议（质疑），不得在</w:t>
      </w:r>
      <w:r>
        <w:rPr>
          <w:rFonts w:hint="eastAsia" w:asciiTheme="minorEastAsia" w:hAnsiTheme="minorEastAsia" w:eastAsiaTheme="minorEastAsia" w:cstheme="minorEastAsia"/>
          <w:bCs/>
          <w:szCs w:val="21"/>
          <w:highlight w:val="none"/>
          <w:lang w:eastAsia="zh-CN"/>
        </w:rPr>
        <w:t>磋商文件</w:t>
      </w:r>
      <w:r>
        <w:rPr>
          <w:rFonts w:hint="eastAsia" w:asciiTheme="minorEastAsia" w:hAnsiTheme="minorEastAsia" w:eastAsiaTheme="minorEastAsia" w:cstheme="minorEastAsia"/>
          <w:bCs/>
          <w:szCs w:val="21"/>
          <w:highlight w:val="none"/>
        </w:rPr>
        <w:t>规定时间后对</w:t>
      </w:r>
      <w:r>
        <w:rPr>
          <w:rFonts w:hint="eastAsia" w:asciiTheme="minorEastAsia" w:hAnsiTheme="minorEastAsia" w:eastAsiaTheme="minorEastAsia" w:cstheme="minorEastAsia"/>
          <w:bCs/>
          <w:szCs w:val="21"/>
          <w:highlight w:val="none"/>
          <w:lang w:eastAsia="zh-CN"/>
        </w:rPr>
        <w:t>磋商文件</w:t>
      </w:r>
      <w:r>
        <w:rPr>
          <w:rFonts w:hint="eastAsia" w:asciiTheme="minorEastAsia" w:hAnsiTheme="minorEastAsia" w:eastAsiaTheme="minorEastAsia" w:cstheme="minorEastAsia"/>
          <w:bCs/>
          <w:szCs w:val="21"/>
          <w:highlight w:val="none"/>
        </w:rPr>
        <w:t xml:space="preserve">相关内容提出异议（质疑）或投诉。相关部门依法不予受理。 </w:t>
      </w:r>
    </w:p>
    <w:p w14:paraId="6721358D">
      <w:pPr>
        <w:snapToGrid w:val="0"/>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10.5.3、对开标过程提出异议（质疑）的，应于开标现场提出。</w:t>
      </w:r>
    </w:p>
    <w:p w14:paraId="186CDE68">
      <w:pPr>
        <w:snapToGrid w:val="0"/>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10.5.4、对磋商结果的异议（质疑）：</w:t>
      </w:r>
    </w:p>
    <w:p w14:paraId="13AE026D">
      <w:pPr>
        <w:snapToGrid w:val="0"/>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招标响应相关各方对磋商结果有异议（质疑），应在公示期内以书面形式向</w:t>
      </w:r>
      <w:r>
        <w:rPr>
          <w:rFonts w:hint="eastAsia" w:ascii="宋体" w:hAnsi="宋体" w:cs="宋体" w:eastAsiaTheme="minorEastAsia"/>
          <w:szCs w:val="21"/>
          <w:highlight w:val="none"/>
          <w:lang w:eastAsia="zh-CN"/>
        </w:rPr>
        <w:t>华采招标集团有限公司</w:t>
      </w:r>
      <w:r>
        <w:rPr>
          <w:rFonts w:hint="eastAsia" w:asciiTheme="minorEastAsia" w:hAnsiTheme="minorEastAsia" w:eastAsiaTheme="minorEastAsia" w:cstheme="minorEastAsia"/>
          <w:bCs/>
          <w:szCs w:val="21"/>
          <w:highlight w:val="none"/>
        </w:rPr>
        <w:t>或采购人提出。</w:t>
      </w:r>
    </w:p>
    <w:p w14:paraId="56966A7B">
      <w:pPr>
        <w:snapToGrid w:val="0"/>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（1）书面异议（质疑）材料应当包括以下内容：</w:t>
      </w:r>
    </w:p>
    <w:p w14:paraId="28D90E1C">
      <w:pPr>
        <w:snapToGrid w:val="0"/>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①提出异议（质疑）的供应商的名称、地址及有效联系方式；</w:t>
      </w:r>
    </w:p>
    <w:p w14:paraId="656D20C4">
      <w:pPr>
        <w:snapToGrid w:val="0"/>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②异议（质疑）对象的供应商的名称；</w:t>
      </w:r>
    </w:p>
    <w:p w14:paraId="1307D408">
      <w:pPr>
        <w:snapToGrid w:val="0"/>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③异议（质疑）事项的基本事实；</w:t>
      </w:r>
    </w:p>
    <w:p w14:paraId="6B75FEF2">
      <w:pPr>
        <w:snapToGrid w:val="0"/>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④相关请求和主张；</w:t>
      </w:r>
    </w:p>
    <w:p w14:paraId="396DBBB5">
      <w:pPr>
        <w:snapToGrid w:val="0"/>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⑤有效线索和相关证明材料；</w:t>
      </w:r>
    </w:p>
    <w:p w14:paraId="4C1EEFCA">
      <w:pPr>
        <w:snapToGrid w:val="0"/>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⑥提出异议（质疑）的供应商是法人的，异议（质疑）材料必须由其法定代表人（负责人）签字并加盖单位公章，并附法定代表人（负责人）及其委托联系人的有效身份证明复印件、注明联系方式；其他组织或者自然人提出异议（质疑）的，异议（质疑）材料必须由其主要负责人签字（有公章的须单位加盖公章），并附主要负责人及其委托联系人的有效身份证明复印件、注明联系方式。异议（质疑）有关材料是外文的，应当同时提供其中文译本。</w:t>
      </w:r>
    </w:p>
    <w:p w14:paraId="5454B27B">
      <w:pPr>
        <w:snapToGrid w:val="0"/>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（2）有下列情形的异议（质疑）材料不予受理：</w:t>
      </w:r>
    </w:p>
    <w:p w14:paraId="09721F6E">
      <w:pPr>
        <w:snapToGrid w:val="0"/>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①书面异议（质疑）材料不完整的；</w:t>
      </w:r>
    </w:p>
    <w:p w14:paraId="29828BC7">
      <w:pPr>
        <w:snapToGrid w:val="0"/>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②异议（质疑）事项含有主观猜测等内容且无充分有效证据的；</w:t>
      </w:r>
    </w:p>
    <w:p w14:paraId="57EDB5DB">
      <w:pPr>
        <w:snapToGrid w:val="0"/>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③对其他供应商的响应文件详细内容异议（质疑），无法提供合法来源渠道的；</w:t>
      </w:r>
    </w:p>
    <w:p w14:paraId="2ED29EAB">
      <w:pPr>
        <w:snapToGrid w:val="0"/>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④违反相关法律法规的。</w:t>
      </w:r>
    </w:p>
    <w:p w14:paraId="53973FE8">
      <w:pPr>
        <w:tabs>
          <w:tab w:val="left" w:pos="0"/>
        </w:tabs>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10.5.5投诉人有下列情形之一的，属于虚假、恶意投诉，招标采购监督管理部门将驳回投诉，将其列入不良行为记录名单，记入“不守信响应记录档案”，并在相关网络平台公告，同时将报请行政监管部门处理。</w:t>
      </w:r>
    </w:p>
    <w:p w14:paraId="31EAFC29">
      <w:pPr>
        <w:tabs>
          <w:tab w:val="left" w:pos="0"/>
        </w:tabs>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①一年内三次以上投诉均查无实据的；</w:t>
      </w:r>
    </w:p>
    <w:p w14:paraId="33CAAC6A">
      <w:pPr>
        <w:tabs>
          <w:tab w:val="left" w:pos="0"/>
        </w:tabs>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②捏造事实或者提供虚假投诉材料的；</w:t>
      </w:r>
    </w:p>
    <w:p w14:paraId="02544574">
      <w:pPr>
        <w:tabs>
          <w:tab w:val="left" w:pos="0"/>
        </w:tabs>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③其他经认定属于虚假、恶意投诉的行为。</w:t>
      </w:r>
    </w:p>
    <w:p w14:paraId="73A2EC3E">
      <w:pPr>
        <w:pStyle w:val="4"/>
        <w:spacing w:before="20" w:after="20" w:line="360" w:lineRule="auto"/>
        <w:rPr>
          <w:rFonts w:asciiTheme="minorEastAsia" w:hAnsiTheme="minorEastAsia" w:eastAsiaTheme="minorEastAsia" w:cstheme="minorEastAsia"/>
          <w:b w:val="0"/>
          <w:sz w:val="21"/>
          <w:szCs w:val="21"/>
          <w:highlight w:val="none"/>
        </w:rPr>
      </w:pPr>
      <w:bookmarkStart w:id="100" w:name="_Toc7324"/>
      <w:bookmarkStart w:id="101" w:name="_Toc448070722"/>
      <w:bookmarkStart w:id="102" w:name="_Toc13310"/>
      <w:bookmarkStart w:id="103" w:name="_Toc27029"/>
      <w:r>
        <w:rPr>
          <w:rFonts w:hint="eastAsia" w:asciiTheme="minorEastAsia" w:hAnsiTheme="minorEastAsia" w:eastAsiaTheme="minorEastAsia" w:cstheme="minorEastAsia"/>
          <w:sz w:val="21"/>
          <w:szCs w:val="21"/>
          <w:highlight w:val="none"/>
        </w:rPr>
        <w:t>11．解释权</w:t>
      </w:r>
      <w:bookmarkEnd w:id="100"/>
      <w:bookmarkEnd w:id="101"/>
      <w:bookmarkEnd w:id="102"/>
      <w:bookmarkEnd w:id="103"/>
    </w:p>
    <w:p w14:paraId="15178F33">
      <w:pPr>
        <w:spacing w:line="440" w:lineRule="exact"/>
        <w:ind w:firstLine="549"/>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12.1本</w:t>
      </w:r>
      <w:r>
        <w:rPr>
          <w:rFonts w:hint="eastAsia" w:asciiTheme="minorEastAsia" w:hAnsiTheme="minorEastAsia" w:eastAsiaTheme="minorEastAsia" w:cstheme="minorEastAsia"/>
          <w:szCs w:val="21"/>
          <w:highlight w:val="none"/>
          <w:lang w:eastAsia="zh-CN"/>
        </w:rPr>
        <w:t>磋商文件</w:t>
      </w:r>
      <w:r>
        <w:rPr>
          <w:rFonts w:hint="eastAsia" w:asciiTheme="minorEastAsia" w:hAnsiTheme="minorEastAsia" w:eastAsiaTheme="minorEastAsia" w:cstheme="minorEastAsia"/>
          <w:szCs w:val="21"/>
          <w:highlight w:val="none"/>
        </w:rPr>
        <w:t>的解释权属于采购人。</w:t>
      </w:r>
    </w:p>
    <w:p w14:paraId="685344B8">
      <w:pPr>
        <w:spacing w:line="440" w:lineRule="exact"/>
        <w:ind w:firstLine="549"/>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12.2未尽事宜，按有关法律法规的规定执行。</w:t>
      </w:r>
    </w:p>
    <w:p w14:paraId="089793F0">
      <w:pPr>
        <w:pStyle w:val="27"/>
        <w:ind w:left="0" w:firstLine="0" w:firstLineChars="0"/>
        <w:rPr>
          <w:highlight w:val="none"/>
        </w:rPr>
      </w:pPr>
    </w:p>
    <w:p w14:paraId="1C03DCFE">
      <w:pPr>
        <w:pStyle w:val="27"/>
        <w:ind w:left="0" w:firstLine="0" w:firstLineChars="0"/>
        <w:rPr>
          <w:highlight w:val="none"/>
        </w:rPr>
      </w:pPr>
    </w:p>
    <w:p w14:paraId="7C1F8906">
      <w:pPr>
        <w:pStyle w:val="27"/>
        <w:ind w:left="0" w:firstLine="0" w:firstLineChars="0"/>
        <w:rPr>
          <w:highlight w:val="none"/>
        </w:rPr>
      </w:pPr>
    </w:p>
    <w:p w14:paraId="3A0038E1">
      <w:pPr>
        <w:pStyle w:val="27"/>
        <w:ind w:left="0" w:firstLine="0" w:firstLineChars="0"/>
        <w:rPr>
          <w:highlight w:val="none"/>
        </w:rPr>
      </w:pPr>
    </w:p>
    <w:p w14:paraId="0250F611">
      <w:pPr>
        <w:pStyle w:val="27"/>
        <w:ind w:left="0" w:firstLine="0" w:firstLineChars="0"/>
        <w:rPr>
          <w:highlight w:val="none"/>
        </w:rPr>
      </w:pPr>
    </w:p>
    <w:p w14:paraId="2DC27CD0">
      <w:pPr>
        <w:rPr>
          <w:rFonts w:hint="eastAsia" w:asciiTheme="majorEastAsia" w:hAnsiTheme="majorEastAsia" w:eastAsiaTheme="majorEastAsia" w:cstheme="majorEastAsia"/>
          <w:b/>
          <w:bCs/>
          <w:szCs w:val="32"/>
          <w:highlight w:val="none"/>
        </w:rPr>
      </w:pPr>
      <w:bookmarkStart w:id="104" w:name="_Toc13562_WPSOffice_Level1"/>
      <w:bookmarkStart w:id="105" w:name="_Toc15058"/>
      <w:bookmarkStart w:id="106" w:name="_Toc10875"/>
      <w:bookmarkStart w:id="107" w:name="_Toc12768_WPSOffice_Level1"/>
      <w:bookmarkStart w:id="108" w:name="_Toc26801_WPSOffice_Level1"/>
      <w:r>
        <w:rPr>
          <w:rFonts w:hint="eastAsia" w:asciiTheme="majorEastAsia" w:hAnsiTheme="majorEastAsia" w:eastAsiaTheme="majorEastAsia" w:cstheme="majorEastAsia"/>
          <w:b/>
          <w:bCs/>
          <w:szCs w:val="32"/>
          <w:highlight w:val="none"/>
        </w:rPr>
        <w:br w:type="page"/>
      </w:r>
    </w:p>
    <w:p w14:paraId="3D1AA209">
      <w:pPr>
        <w:pStyle w:val="27"/>
        <w:ind w:left="0" w:firstLine="0" w:firstLineChars="0"/>
        <w:jc w:val="center"/>
        <w:outlineLvl w:val="0"/>
        <w:rPr>
          <w:rFonts w:asciiTheme="majorEastAsia" w:hAnsiTheme="majorEastAsia" w:eastAsiaTheme="majorEastAsia" w:cstheme="majorEastAsia"/>
          <w:b/>
          <w:bCs/>
          <w:szCs w:val="32"/>
          <w:highlight w:val="none"/>
        </w:rPr>
      </w:pPr>
      <w:bookmarkStart w:id="109" w:name="_Toc17996"/>
      <w:r>
        <w:rPr>
          <w:rFonts w:hint="eastAsia" w:asciiTheme="majorEastAsia" w:hAnsiTheme="majorEastAsia" w:eastAsiaTheme="majorEastAsia" w:cstheme="majorEastAsia"/>
          <w:b/>
          <w:bCs/>
          <w:szCs w:val="32"/>
          <w:highlight w:val="none"/>
        </w:rPr>
        <w:t>第三章  磋商办法</w:t>
      </w:r>
      <w:bookmarkEnd w:id="104"/>
      <w:bookmarkEnd w:id="105"/>
      <w:bookmarkEnd w:id="106"/>
      <w:bookmarkEnd w:id="107"/>
      <w:bookmarkEnd w:id="108"/>
      <w:bookmarkEnd w:id="109"/>
    </w:p>
    <w:p w14:paraId="74143003">
      <w:pPr>
        <w:spacing w:line="360" w:lineRule="auto"/>
        <w:ind w:right="-1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14:textFill>
            <w14:solidFill>
              <w14:schemeClr w14:val="tx1"/>
            </w14:solidFill>
          </w14:textFill>
        </w:rPr>
        <w:t>一、初步评审：</w:t>
      </w:r>
      <w:r>
        <w:rPr>
          <w:rFonts w:hint="eastAsia" w:ascii="宋体" w:hAnsi="宋体" w:eastAsia="宋体"/>
          <w:color w:val="000000" w:themeColor="text1"/>
          <w:szCs w:val="21"/>
          <w:highlight w:val="none"/>
          <w14:textFill>
            <w14:solidFill>
              <w14:schemeClr w14:val="tx1"/>
            </w14:solidFill>
          </w14:textFill>
        </w:rPr>
        <w:t>磋商小组</w:t>
      </w:r>
      <w:r>
        <w:rPr>
          <w:rFonts w:ascii="宋体" w:hAnsi="宋体" w:eastAsia="宋体"/>
          <w:color w:val="000000" w:themeColor="text1"/>
          <w:szCs w:val="21"/>
          <w:highlight w:val="none"/>
          <w14:textFill>
            <w14:solidFill>
              <w14:schemeClr w14:val="tx1"/>
            </w14:solidFill>
          </w14:textFill>
        </w:rPr>
        <w:t>对供应商提供的响应文件进行审查</w:t>
      </w:r>
      <w:r>
        <w:rPr>
          <w:rFonts w:hint="eastAsia" w:ascii="宋体" w:hAnsi="宋体" w:eastAsia="宋体"/>
          <w:color w:val="000000" w:themeColor="text1"/>
          <w:szCs w:val="21"/>
          <w:highlight w:val="none"/>
          <w14:textFill>
            <w14:solidFill>
              <w14:schemeClr w14:val="tx1"/>
            </w14:solidFill>
          </w14:textFill>
        </w:rPr>
        <w:t>，</w:t>
      </w:r>
      <w:r>
        <w:rPr>
          <w:rFonts w:ascii="宋体" w:hAnsi="宋体" w:eastAsia="宋体"/>
          <w:color w:val="000000" w:themeColor="text1"/>
          <w:szCs w:val="21"/>
          <w:highlight w:val="none"/>
          <w14:textFill>
            <w14:solidFill>
              <w14:schemeClr w14:val="tx1"/>
            </w14:solidFill>
          </w14:textFill>
        </w:rPr>
        <w:t>以确定供应商是否按要求</w:t>
      </w:r>
      <w:r>
        <w:rPr>
          <w:rFonts w:hint="eastAsia" w:ascii="宋体" w:hAnsi="宋体" w:eastAsia="宋体"/>
          <w:color w:val="000000" w:themeColor="text1"/>
          <w:szCs w:val="21"/>
          <w:highlight w:val="none"/>
          <w:lang w:eastAsia="zh-CN"/>
          <w14:textFill>
            <w14:solidFill>
              <w14:schemeClr w14:val="tx1"/>
            </w14:solidFill>
          </w14:textFill>
        </w:rPr>
        <w:t>提供</w:t>
      </w:r>
      <w:r>
        <w:rPr>
          <w:rFonts w:ascii="宋体" w:hAnsi="宋体" w:eastAsia="宋体"/>
          <w:color w:val="000000" w:themeColor="text1"/>
          <w:szCs w:val="21"/>
          <w:highlight w:val="none"/>
          <w14:textFill>
            <w14:solidFill>
              <w14:schemeClr w14:val="tx1"/>
            </w14:solidFill>
          </w14:textFill>
        </w:rPr>
        <w:t>了完整的</w:t>
      </w:r>
      <w:r>
        <w:rPr>
          <w:rFonts w:hint="eastAsia" w:ascii="宋体" w:hAnsi="宋体" w:eastAsia="宋体"/>
          <w:color w:val="000000" w:themeColor="text1"/>
          <w:szCs w:val="21"/>
          <w:highlight w:val="none"/>
          <w:lang w:eastAsia="zh-CN"/>
          <w14:textFill>
            <w14:solidFill>
              <w14:schemeClr w14:val="tx1"/>
            </w14:solidFill>
          </w14:textFill>
        </w:rPr>
        <w:t>响应</w:t>
      </w:r>
      <w:r>
        <w:rPr>
          <w:rFonts w:ascii="宋体" w:hAnsi="宋体" w:eastAsia="宋体"/>
          <w:color w:val="000000" w:themeColor="text1"/>
          <w:szCs w:val="21"/>
          <w:highlight w:val="none"/>
          <w14:textFill>
            <w14:solidFill>
              <w14:schemeClr w14:val="tx1"/>
            </w14:solidFill>
          </w14:textFill>
        </w:rPr>
        <w:t>文件</w:t>
      </w:r>
      <w:r>
        <w:rPr>
          <w:rFonts w:hint="eastAsia" w:ascii="宋体" w:hAnsi="宋体" w:eastAsia="宋体"/>
          <w:color w:val="000000" w:themeColor="text1"/>
          <w:szCs w:val="21"/>
          <w:highlight w:val="none"/>
          <w14:textFill>
            <w14:solidFill>
              <w14:schemeClr w14:val="tx1"/>
            </w14:solidFill>
          </w14:textFill>
        </w:rPr>
        <w:t>。</w:t>
      </w:r>
    </w:p>
    <w:tbl>
      <w:tblPr>
        <w:tblStyle w:val="28"/>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945"/>
        <w:gridCol w:w="5046"/>
      </w:tblGrid>
      <w:tr w14:paraId="6A19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8793" w:type="dxa"/>
            <w:gridSpan w:val="3"/>
            <w:vAlign w:val="center"/>
          </w:tcPr>
          <w:p w14:paraId="6E309B8D">
            <w:pPr>
              <w:shd w:val="clear" w:color="auto" w:fill="FFFFFF"/>
              <w:snapToGrid w:val="0"/>
              <w:spacing w:before="100" w:beforeAutospacing="1" w:after="100" w:afterAutospacing="1"/>
              <w:jc w:val="center"/>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rPr>
              <w:t>初步评审表</w:t>
            </w:r>
            <w:r>
              <w:rPr>
                <w:rFonts w:hint="eastAsia" w:ascii="宋体" w:hAnsi="宋体" w:cs="宋体"/>
                <w:b/>
                <w:bCs/>
                <w:sz w:val="21"/>
                <w:szCs w:val="21"/>
                <w:highlight w:val="none"/>
                <w:lang w:eastAsia="zh-CN"/>
              </w:rPr>
              <w:t>（第一包、第二包）</w:t>
            </w:r>
          </w:p>
        </w:tc>
      </w:tr>
      <w:tr w14:paraId="73F4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793" w:type="dxa"/>
            <w:gridSpan w:val="3"/>
            <w:vAlign w:val="center"/>
          </w:tcPr>
          <w:p w14:paraId="149C2F7A">
            <w:pPr>
              <w:shd w:val="clear" w:color="auto" w:fill="FFFFFF"/>
              <w:snapToGrid w:val="0"/>
              <w:spacing w:before="100" w:beforeAutospacing="1" w:after="100" w:afterAutospacing="1"/>
              <w:rPr>
                <w:rFonts w:hint="eastAsia" w:ascii="宋体" w:hAnsi="宋体" w:eastAsia="宋体" w:cs="宋体"/>
                <w:sz w:val="21"/>
                <w:szCs w:val="21"/>
                <w:highlight w:val="none"/>
              </w:rPr>
            </w:pPr>
            <w:r>
              <w:rPr>
                <w:rFonts w:hint="eastAsia" w:ascii="宋体" w:hAnsi="宋体" w:eastAsia="宋体" w:cs="宋体"/>
                <w:sz w:val="21"/>
                <w:szCs w:val="21"/>
                <w:highlight w:val="none"/>
              </w:rPr>
              <w:t>一、初审指标</w:t>
            </w:r>
          </w:p>
        </w:tc>
      </w:tr>
      <w:tr w14:paraId="4F76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02" w:type="dxa"/>
            <w:vAlign w:val="center"/>
          </w:tcPr>
          <w:p w14:paraId="0AF566FA">
            <w:pPr>
              <w:shd w:val="clear" w:color="auto" w:fill="FFFFFF"/>
              <w:snapToGrid w:val="0"/>
              <w:spacing w:before="100" w:beforeAutospacing="1" w:after="100" w:afterAutospacing="1"/>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序号                        </w:t>
            </w:r>
          </w:p>
        </w:tc>
        <w:tc>
          <w:tcPr>
            <w:tcW w:w="7991" w:type="dxa"/>
            <w:gridSpan w:val="2"/>
            <w:vAlign w:val="center"/>
          </w:tcPr>
          <w:p w14:paraId="2991BFC3">
            <w:pPr>
              <w:shd w:val="clear" w:color="auto" w:fill="FFFFFF"/>
              <w:snapToGrid w:val="0"/>
              <w:spacing w:before="100" w:beforeAutospacing="1" w:after="100" w:afterAutospacing="1"/>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评审内容</w:t>
            </w:r>
          </w:p>
        </w:tc>
      </w:tr>
      <w:tr w14:paraId="68DD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02" w:type="dxa"/>
            <w:vAlign w:val="center"/>
          </w:tcPr>
          <w:p w14:paraId="69E24FE2">
            <w:pPr>
              <w:shd w:val="clear" w:color="auto" w:fill="FFFFFF"/>
              <w:snapToGrid w:val="0"/>
              <w:spacing w:before="100" w:beforeAutospacing="1" w:after="100" w:afterAutospacing="1"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945" w:type="dxa"/>
            <w:vAlign w:val="center"/>
          </w:tcPr>
          <w:p w14:paraId="2ACB35C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营业执照</w:t>
            </w:r>
          </w:p>
        </w:tc>
        <w:tc>
          <w:tcPr>
            <w:tcW w:w="5046" w:type="dxa"/>
            <w:vAlign w:val="center"/>
          </w:tcPr>
          <w:p w14:paraId="7121518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具备合格的营业执照副本</w:t>
            </w:r>
          </w:p>
        </w:tc>
      </w:tr>
      <w:tr w14:paraId="7FC1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02" w:type="dxa"/>
            <w:vAlign w:val="center"/>
          </w:tcPr>
          <w:p w14:paraId="6EE8E1F0">
            <w:pPr>
              <w:shd w:val="clear" w:color="auto" w:fill="FFFFFF"/>
              <w:snapToGrid w:val="0"/>
              <w:spacing w:before="100" w:beforeAutospacing="1" w:after="100" w:afterAutospacing="1"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945" w:type="dxa"/>
            <w:vAlign w:val="center"/>
          </w:tcPr>
          <w:p w14:paraId="2473E6A0">
            <w:pPr>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rPr>
              <w:t>供应商名称</w:t>
            </w:r>
          </w:p>
        </w:tc>
        <w:tc>
          <w:tcPr>
            <w:tcW w:w="5046" w:type="dxa"/>
            <w:vAlign w:val="center"/>
          </w:tcPr>
          <w:p w14:paraId="717E84C7">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与营业执照一致</w:t>
            </w:r>
          </w:p>
        </w:tc>
      </w:tr>
      <w:tr w14:paraId="60EF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02" w:type="dxa"/>
            <w:vAlign w:val="center"/>
          </w:tcPr>
          <w:p w14:paraId="4BEE52F1">
            <w:pPr>
              <w:shd w:val="clear" w:color="auto" w:fill="FFFFFF"/>
              <w:snapToGrid w:val="0"/>
              <w:spacing w:before="100" w:beforeAutospacing="1" w:after="100" w:afterAutospacing="1" w:line="36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3</w:t>
            </w:r>
          </w:p>
        </w:tc>
        <w:tc>
          <w:tcPr>
            <w:tcW w:w="2945" w:type="dxa"/>
            <w:vAlign w:val="center"/>
          </w:tcPr>
          <w:p w14:paraId="3F3D6B4E">
            <w:pPr>
              <w:jc w:val="center"/>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资质要求</w:t>
            </w:r>
          </w:p>
        </w:tc>
        <w:tc>
          <w:tcPr>
            <w:tcW w:w="5046" w:type="dxa"/>
            <w:vAlign w:val="center"/>
          </w:tcPr>
          <w:p w14:paraId="6642C881">
            <w:pPr>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eastAsia="zh-CN"/>
              </w:rPr>
              <w:t>符合磋商文件要求</w:t>
            </w:r>
          </w:p>
        </w:tc>
      </w:tr>
      <w:tr w14:paraId="6532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02" w:type="dxa"/>
            <w:vAlign w:val="center"/>
          </w:tcPr>
          <w:p w14:paraId="17AC1110">
            <w:pPr>
              <w:shd w:val="clear" w:color="auto" w:fill="FFFFFF"/>
              <w:snapToGrid w:val="0"/>
              <w:spacing w:before="100" w:beforeAutospacing="1" w:after="100" w:afterAutospacing="1" w:line="36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w:t>
            </w:r>
          </w:p>
        </w:tc>
        <w:tc>
          <w:tcPr>
            <w:tcW w:w="2945" w:type="dxa"/>
            <w:vAlign w:val="center"/>
          </w:tcPr>
          <w:p w14:paraId="5D092C6A">
            <w:pPr>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诚信承诺书</w:t>
            </w:r>
          </w:p>
        </w:tc>
        <w:tc>
          <w:tcPr>
            <w:tcW w:w="5046" w:type="dxa"/>
            <w:vAlign w:val="center"/>
          </w:tcPr>
          <w:p w14:paraId="2A193ECF">
            <w:pPr>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提供承诺书并加盖供应商公章</w:t>
            </w:r>
          </w:p>
        </w:tc>
      </w:tr>
      <w:tr w14:paraId="7924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02" w:type="dxa"/>
            <w:vAlign w:val="center"/>
          </w:tcPr>
          <w:p w14:paraId="4FA95802">
            <w:pPr>
              <w:shd w:val="clear" w:color="auto" w:fill="FFFFFF"/>
              <w:snapToGrid w:val="0"/>
              <w:spacing w:before="100" w:beforeAutospacing="1" w:after="100" w:afterAutospacing="1" w:line="360" w:lineRule="exact"/>
              <w:jc w:val="center"/>
              <w:rPr>
                <w:rFonts w:hint="eastAsia" w:ascii="宋体" w:hAnsi="宋体" w:eastAsia="宋体" w:cs="宋体"/>
                <w:color w:val="FF0000"/>
                <w:kern w:val="2"/>
                <w:sz w:val="21"/>
                <w:szCs w:val="21"/>
                <w:highlight w:val="none"/>
                <w:lang w:val="en-US" w:eastAsia="zh-CN" w:bidi="ar-SA"/>
              </w:rPr>
            </w:pPr>
            <w:r>
              <w:rPr>
                <w:rFonts w:hint="eastAsia" w:ascii="宋体" w:hAnsi="宋体" w:cs="宋体"/>
                <w:sz w:val="21"/>
                <w:szCs w:val="21"/>
                <w:highlight w:val="none"/>
                <w:lang w:val="en-US" w:eastAsia="zh-CN"/>
              </w:rPr>
              <w:t>5</w:t>
            </w:r>
          </w:p>
        </w:tc>
        <w:tc>
          <w:tcPr>
            <w:tcW w:w="2945" w:type="dxa"/>
            <w:vAlign w:val="center"/>
          </w:tcPr>
          <w:p w14:paraId="3A9F102D">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 w:val="21"/>
                <w:szCs w:val="21"/>
                <w:highlight w:val="none"/>
                <w:lang w:eastAsia="zh-CN"/>
              </w:rPr>
              <w:t>响应函</w:t>
            </w:r>
            <w:r>
              <w:rPr>
                <w:rFonts w:hint="eastAsia" w:ascii="宋体" w:hAnsi="宋体" w:eastAsia="宋体" w:cs="宋体"/>
                <w:sz w:val="21"/>
                <w:szCs w:val="21"/>
                <w:highlight w:val="none"/>
              </w:rPr>
              <w:t>签字或盖章</w:t>
            </w:r>
          </w:p>
        </w:tc>
        <w:tc>
          <w:tcPr>
            <w:tcW w:w="5046" w:type="dxa"/>
            <w:vAlign w:val="center"/>
          </w:tcPr>
          <w:p w14:paraId="564311BC">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符合“</w:t>
            </w:r>
            <w:r>
              <w:rPr>
                <w:rFonts w:hint="eastAsia" w:ascii="宋体" w:hAnsi="宋体" w:cs="宋体"/>
                <w:sz w:val="21"/>
                <w:szCs w:val="21"/>
                <w:highlight w:val="none"/>
                <w:lang w:eastAsia="zh-CN"/>
              </w:rPr>
              <w:t>响应</w:t>
            </w:r>
            <w:r>
              <w:rPr>
                <w:rFonts w:hint="eastAsia" w:ascii="宋体" w:hAnsi="宋体" w:eastAsia="宋体" w:cs="宋体"/>
                <w:sz w:val="21"/>
                <w:szCs w:val="21"/>
                <w:highlight w:val="none"/>
              </w:rPr>
              <w:t>函”格式要求</w:t>
            </w:r>
          </w:p>
        </w:tc>
      </w:tr>
      <w:tr w14:paraId="6109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02" w:type="dxa"/>
            <w:vAlign w:val="center"/>
          </w:tcPr>
          <w:p w14:paraId="47138239">
            <w:pPr>
              <w:shd w:val="clear" w:color="auto" w:fill="FFFFFF"/>
              <w:snapToGrid w:val="0"/>
              <w:spacing w:before="100" w:beforeAutospacing="1" w:after="100" w:afterAutospacing="1" w:line="36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sz w:val="21"/>
                <w:szCs w:val="21"/>
                <w:highlight w:val="none"/>
                <w:lang w:val="en-US" w:eastAsia="zh-CN"/>
              </w:rPr>
              <w:t>6</w:t>
            </w:r>
          </w:p>
        </w:tc>
        <w:tc>
          <w:tcPr>
            <w:tcW w:w="2945" w:type="dxa"/>
            <w:vAlign w:val="center"/>
          </w:tcPr>
          <w:p w14:paraId="723D606D">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报价唯一</w:t>
            </w:r>
          </w:p>
        </w:tc>
        <w:tc>
          <w:tcPr>
            <w:tcW w:w="5046" w:type="dxa"/>
            <w:vAlign w:val="center"/>
          </w:tcPr>
          <w:p w14:paraId="52539CCA">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只能有一个有效报价</w:t>
            </w:r>
          </w:p>
        </w:tc>
      </w:tr>
      <w:tr w14:paraId="0DA0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02" w:type="dxa"/>
            <w:vAlign w:val="center"/>
          </w:tcPr>
          <w:p w14:paraId="0CA65388">
            <w:pPr>
              <w:shd w:val="clear" w:color="auto" w:fill="FFFFFF"/>
              <w:snapToGrid w:val="0"/>
              <w:spacing w:before="100" w:beforeAutospacing="1" w:after="100" w:afterAutospacing="1" w:line="36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7</w:t>
            </w:r>
          </w:p>
        </w:tc>
        <w:tc>
          <w:tcPr>
            <w:tcW w:w="2945" w:type="dxa"/>
            <w:vAlign w:val="center"/>
          </w:tcPr>
          <w:p w14:paraId="403A2C9C">
            <w:pPr>
              <w:jc w:val="center"/>
              <w:rPr>
                <w:rFonts w:hint="eastAsia" w:ascii="宋体" w:hAnsi="宋体" w:eastAsia="宋体" w:cs="宋体"/>
                <w:kern w:val="2"/>
                <w:sz w:val="21"/>
                <w:szCs w:val="21"/>
                <w:highlight w:val="none"/>
                <w:lang w:val="en-US" w:eastAsia="zh-CN" w:bidi="ar-SA"/>
              </w:rPr>
            </w:pPr>
            <w:r>
              <w:rPr>
                <w:rFonts w:hint="eastAsia" w:ascii="宋体" w:hAnsi="宋体"/>
                <w:kern w:val="2"/>
                <w:sz w:val="21"/>
                <w:szCs w:val="21"/>
                <w:highlight w:val="none"/>
                <w:lang w:eastAsia="zh-CN"/>
              </w:rPr>
              <w:t>服务期限</w:t>
            </w:r>
          </w:p>
        </w:tc>
        <w:tc>
          <w:tcPr>
            <w:tcW w:w="5046" w:type="dxa"/>
            <w:vAlign w:val="center"/>
          </w:tcPr>
          <w:p w14:paraId="55B3FA3B">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符合磋商文件要求</w:t>
            </w:r>
          </w:p>
        </w:tc>
      </w:tr>
      <w:tr w14:paraId="16CF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02" w:type="dxa"/>
            <w:vAlign w:val="center"/>
          </w:tcPr>
          <w:p w14:paraId="51DA804E">
            <w:pPr>
              <w:shd w:val="clear" w:color="auto" w:fill="FFFFFF"/>
              <w:snapToGrid w:val="0"/>
              <w:spacing w:before="100" w:beforeAutospacing="1" w:after="100" w:afterAutospacing="1" w:line="36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8</w:t>
            </w:r>
          </w:p>
        </w:tc>
        <w:tc>
          <w:tcPr>
            <w:tcW w:w="2945" w:type="dxa"/>
            <w:vAlign w:val="center"/>
          </w:tcPr>
          <w:p w14:paraId="19C8D428">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采购需求</w:t>
            </w:r>
          </w:p>
        </w:tc>
        <w:tc>
          <w:tcPr>
            <w:tcW w:w="5046" w:type="dxa"/>
            <w:vAlign w:val="center"/>
          </w:tcPr>
          <w:p w14:paraId="34877510">
            <w:pPr>
              <w:tabs>
                <w:tab w:val="center" w:pos="2773"/>
                <w:tab w:val="right" w:pos="5427"/>
              </w:tabs>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符合磋商文件要求</w:t>
            </w:r>
          </w:p>
        </w:tc>
      </w:tr>
      <w:tr w14:paraId="4D8A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793" w:type="dxa"/>
            <w:gridSpan w:val="3"/>
            <w:vAlign w:val="center"/>
          </w:tcPr>
          <w:p w14:paraId="7DD0A78F">
            <w:pPr>
              <w:spacing w:line="36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初审指标通过标准：供应商必须通过初审表中的全部评审指标。</w:t>
            </w:r>
          </w:p>
          <w:p w14:paraId="2780D628">
            <w:pPr>
              <w:spacing w:line="36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磋商小组先对磋商响应文件进行初步评审，通过初步评审的，再进行详细评审。</w:t>
            </w:r>
          </w:p>
        </w:tc>
      </w:tr>
    </w:tbl>
    <w:p w14:paraId="3EE9A4D0">
      <w:pPr>
        <w:rPr>
          <w:rFonts w:ascii="宋体" w:hAnsi="宋体" w:eastAsia="宋体"/>
          <w:b/>
          <w:bCs/>
          <w:color w:val="000000" w:themeColor="text1"/>
          <w:szCs w:val="21"/>
          <w:highlight w:val="none"/>
          <w14:textFill>
            <w14:solidFill>
              <w14:schemeClr w14:val="tx1"/>
            </w14:solidFill>
          </w14:textFill>
        </w:rPr>
      </w:pPr>
      <w:r>
        <w:rPr>
          <w:rFonts w:hint="eastAsia" w:hAnsi="宋体" w:cs="宋体"/>
          <w:bCs/>
          <w:sz w:val="22"/>
          <w:szCs w:val="22"/>
          <w:highlight w:val="none"/>
        </w:rPr>
        <w:br w:type="page"/>
      </w:r>
    </w:p>
    <w:p w14:paraId="175342D0">
      <w:pPr>
        <w:numPr>
          <w:ilvl w:val="0"/>
          <w:numId w:val="1"/>
        </w:numPr>
        <w:spacing w:line="360" w:lineRule="auto"/>
        <w:jc w:val="left"/>
        <w:rPr>
          <w:highlight w:val="none"/>
        </w:rPr>
      </w:pPr>
      <w:r>
        <w:rPr>
          <w:rFonts w:hint="eastAsia" w:ascii="宋体" w:hAnsi="宋体" w:eastAsia="宋体"/>
          <w:b/>
          <w:bCs/>
          <w:color w:val="000000" w:themeColor="text1"/>
          <w:szCs w:val="21"/>
          <w:highlight w:val="none"/>
          <w14:textFill>
            <w14:solidFill>
              <w14:schemeClr w14:val="tx1"/>
            </w14:solidFill>
          </w14:textFill>
        </w:rPr>
        <w:t>详细评审：</w:t>
      </w:r>
      <w:r>
        <w:rPr>
          <w:rFonts w:hint="eastAsia" w:ascii="宋体" w:hAnsi="宋体" w:eastAsia="宋体"/>
          <w:color w:val="000000" w:themeColor="text1"/>
          <w:szCs w:val="21"/>
          <w:highlight w:val="none"/>
          <w14:textFill>
            <w14:solidFill>
              <w14:schemeClr w14:val="tx1"/>
            </w14:solidFill>
          </w14:textFill>
        </w:rPr>
        <w:t>磋商小组</w:t>
      </w:r>
      <w:r>
        <w:rPr>
          <w:rFonts w:ascii="宋体" w:hAnsi="宋体" w:eastAsia="宋体"/>
          <w:color w:val="000000" w:themeColor="text1"/>
          <w:szCs w:val="21"/>
          <w:highlight w:val="none"/>
          <w14:textFill>
            <w14:solidFill>
              <w14:schemeClr w14:val="tx1"/>
            </w14:solidFill>
          </w14:textFill>
        </w:rPr>
        <w:t>对响应文件进一步进行详细评审，具体指标见下表，满分为100分，评审内容分为技术</w:t>
      </w:r>
      <w:r>
        <w:rPr>
          <w:rFonts w:hint="eastAsia" w:ascii="宋体" w:hAnsi="宋体" w:eastAsia="宋体"/>
          <w:color w:val="000000" w:themeColor="text1"/>
          <w:szCs w:val="21"/>
          <w:highlight w:val="none"/>
          <w:lang w:eastAsia="zh-CN"/>
          <w14:textFill>
            <w14:solidFill>
              <w14:schemeClr w14:val="tx1"/>
            </w14:solidFill>
          </w14:textFill>
        </w:rPr>
        <w:t>资信</w:t>
      </w:r>
      <w:r>
        <w:rPr>
          <w:rFonts w:ascii="宋体" w:hAnsi="宋体" w:eastAsia="宋体"/>
          <w:color w:val="000000" w:themeColor="text1"/>
          <w:szCs w:val="21"/>
          <w:highlight w:val="none"/>
          <w14:textFill>
            <w14:solidFill>
              <w14:schemeClr w14:val="tx1"/>
            </w14:solidFill>
          </w14:textFill>
        </w:rPr>
        <w:t>部</w:t>
      </w:r>
      <w:r>
        <w:rPr>
          <w:rFonts w:hint="eastAsia" w:ascii="宋体" w:hAnsi="宋体" w:eastAsia="宋体"/>
          <w:color w:val="000000" w:themeColor="text1"/>
          <w:szCs w:val="21"/>
          <w:highlight w:val="none"/>
          <w14:textFill>
            <w14:solidFill>
              <w14:schemeClr w14:val="tx1"/>
            </w14:solidFill>
          </w14:textFill>
        </w:rPr>
        <w:t>分</w:t>
      </w:r>
      <w:r>
        <w:rPr>
          <w:rFonts w:ascii="宋体" w:hAnsi="宋体" w:eastAsia="宋体"/>
          <w:color w:val="000000" w:themeColor="text1"/>
          <w:szCs w:val="21"/>
          <w:highlight w:val="none"/>
          <w14:textFill>
            <w14:solidFill>
              <w14:schemeClr w14:val="tx1"/>
            </w14:solidFill>
          </w14:textFill>
        </w:rPr>
        <w:t>得分(</w:t>
      </w:r>
      <w:r>
        <w:rPr>
          <w:rFonts w:hint="eastAsia" w:ascii="宋体" w:hAnsi="宋体" w:eastAsia="宋体"/>
          <w:color w:val="000000" w:themeColor="text1"/>
          <w:szCs w:val="21"/>
          <w:highlight w:val="none"/>
          <w:lang w:val="en-US" w:eastAsia="zh-CN"/>
          <w14:textFill>
            <w14:solidFill>
              <w14:schemeClr w14:val="tx1"/>
            </w14:solidFill>
          </w14:textFill>
        </w:rPr>
        <w:t>90</w:t>
      </w:r>
      <w:r>
        <w:rPr>
          <w:rFonts w:ascii="宋体" w:hAnsi="宋体" w:eastAsia="宋体"/>
          <w:color w:val="000000" w:themeColor="text1"/>
          <w:szCs w:val="21"/>
          <w:highlight w:val="none"/>
          <w14:textFill>
            <w14:solidFill>
              <w14:schemeClr w14:val="tx1"/>
            </w14:solidFill>
          </w14:textFill>
        </w:rPr>
        <w:t>分)和商</w:t>
      </w:r>
      <w:r>
        <w:rPr>
          <w:rFonts w:hint="eastAsia" w:ascii="宋体" w:hAnsi="宋体" w:eastAsia="宋体"/>
          <w:color w:val="000000" w:themeColor="text1"/>
          <w:szCs w:val="21"/>
          <w:highlight w:val="none"/>
          <w14:textFill>
            <w14:solidFill>
              <w14:schemeClr w14:val="tx1"/>
            </w14:solidFill>
          </w14:textFill>
        </w:rPr>
        <w:t>务</w:t>
      </w:r>
      <w:r>
        <w:rPr>
          <w:rFonts w:ascii="宋体" w:hAnsi="宋体" w:eastAsia="宋体"/>
          <w:color w:val="000000" w:themeColor="text1"/>
          <w:szCs w:val="21"/>
          <w:highlight w:val="none"/>
          <w14:textFill>
            <w14:solidFill>
              <w14:schemeClr w14:val="tx1"/>
            </w14:solidFill>
          </w14:textFill>
        </w:rPr>
        <w:t>部</w:t>
      </w:r>
      <w:r>
        <w:rPr>
          <w:rFonts w:hint="eastAsia" w:ascii="宋体" w:hAnsi="宋体" w:eastAsia="宋体"/>
          <w:color w:val="000000" w:themeColor="text1"/>
          <w:szCs w:val="21"/>
          <w:highlight w:val="none"/>
          <w14:textFill>
            <w14:solidFill>
              <w14:schemeClr w14:val="tx1"/>
            </w14:solidFill>
          </w14:textFill>
        </w:rPr>
        <w:t>分</w:t>
      </w:r>
      <w:r>
        <w:rPr>
          <w:rFonts w:ascii="宋体" w:hAnsi="宋体" w:eastAsia="宋体"/>
          <w:color w:val="000000" w:themeColor="text1"/>
          <w:szCs w:val="21"/>
          <w:highlight w:val="none"/>
          <w14:textFill>
            <w14:solidFill>
              <w14:schemeClr w14:val="tx1"/>
            </w14:solidFill>
          </w14:textFill>
        </w:rPr>
        <w:t>得分(</w:t>
      </w:r>
      <w:r>
        <w:rPr>
          <w:rFonts w:hint="eastAsia" w:ascii="宋体" w:hAnsi="宋体" w:eastAsia="宋体"/>
          <w:color w:val="000000" w:themeColor="text1"/>
          <w:szCs w:val="21"/>
          <w:highlight w:val="none"/>
          <w:lang w:val="en-US" w:eastAsia="zh-CN"/>
          <w14:textFill>
            <w14:solidFill>
              <w14:schemeClr w14:val="tx1"/>
            </w14:solidFill>
          </w14:textFill>
        </w:rPr>
        <w:t>10</w:t>
      </w:r>
      <w:r>
        <w:rPr>
          <w:rFonts w:ascii="宋体" w:hAnsi="宋体" w:eastAsia="宋体"/>
          <w:color w:val="000000" w:themeColor="text1"/>
          <w:szCs w:val="21"/>
          <w:highlight w:val="none"/>
          <w14:textFill>
            <w14:solidFill>
              <w14:schemeClr w14:val="tx1"/>
            </w14:solidFill>
          </w14:textFill>
        </w:rPr>
        <w:t>分)。</w:t>
      </w:r>
    </w:p>
    <w:p w14:paraId="79ADD6FA">
      <w:pPr>
        <w:spacing w:line="560" w:lineRule="exact"/>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eastAsia="zh-CN"/>
        </w:rPr>
        <w:t>（第一包详细评审）：</w:t>
      </w:r>
    </w:p>
    <w:tbl>
      <w:tblPr>
        <w:tblStyle w:val="2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9"/>
        <w:gridCol w:w="7649"/>
        <w:gridCol w:w="90"/>
      </w:tblGrid>
      <w:tr w14:paraId="314C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179" w:type="dxa"/>
            <w:tcBorders>
              <w:top w:val="single" w:color="auto" w:sz="4" w:space="0"/>
              <w:left w:val="single" w:color="auto" w:sz="4" w:space="0"/>
              <w:bottom w:val="single" w:color="auto" w:sz="4" w:space="0"/>
              <w:right w:val="single" w:color="auto" w:sz="4" w:space="0"/>
            </w:tcBorders>
            <w:vAlign w:val="center"/>
          </w:tcPr>
          <w:p w14:paraId="07DC6F6E">
            <w:pPr>
              <w:adjustRightInd w:val="0"/>
              <w:snapToGrid w:val="0"/>
              <w:spacing w:line="360" w:lineRule="exact"/>
              <w:ind w:left="-35" w:right="-38"/>
              <w:jc w:val="center"/>
              <w:rPr>
                <w:rFonts w:hint="eastAsia" w:ascii="宋体" w:hAnsi="宋体" w:eastAsia="宋体" w:cs="宋体"/>
                <w:szCs w:val="21"/>
                <w:highlight w:val="none"/>
                <w:lang w:eastAsia="zh-CN"/>
              </w:rPr>
            </w:pPr>
            <w:r>
              <w:rPr>
                <w:b/>
                <w:color w:val="000000"/>
                <w:sz w:val="21"/>
                <w:szCs w:val="21"/>
                <w:highlight w:val="none"/>
              </w:rPr>
              <w:t>评分因素及</w:t>
            </w:r>
            <w:r>
              <w:rPr>
                <w:rFonts w:hint="eastAsia"/>
                <w:b/>
                <w:color w:val="000000"/>
                <w:sz w:val="21"/>
                <w:szCs w:val="21"/>
                <w:highlight w:val="none"/>
                <w:lang w:eastAsia="zh-CN"/>
              </w:rPr>
              <w:t>分值</w:t>
            </w:r>
          </w:p>
        </w:tc>
        <w:tc>
          <w:tcPr>
            <w:tcW w:w="7739" w:type="dxa"/>
            <w:gridSpan w:val="2"/>
            <w:tcBorders>
              <w:top w:val="single" w:color="auto" w:sz="4" w:space="0"/>
              <w:left w:val="single" w:color="auto" w:sz="4" w:space="0"/>
              <w:bottom w:val="single" w:color="auto" w:sz="4" w:space="0"/>
              <w:right w:val="single" w:color="auto" w:sz="4" w:space="0"/>
            </w:tcBorders>
            <w:vAlign w:val="center"/>
          </w:tcPr>
          <w:p w14:paraId="3062CE7F">
            <w:pPr>
              <w:adjustRightInd w:val="0"/>
              <w:snapToGrid w:val="0"/>
              <w:spacing w:line="360" w:lineRule="exact"/>
              <w:ind w:left="-35" w:right="-38"/>
              <w:jc w:val="center"/>
              <w:rPr>
                <w:kern w:val="2"/>
                <w:sz w:val="21"/>
                <w:szCs w:val="22"/>
                <w:highlight w:val="none"/>
              </w:rPr>
            </w:pPr>
            <w:r>
              <w:rPr>
                <w:b/>
                <w:color w:val="000000"/>
                <w:sz w:val="21"/>
                <w:szCs w:val="21"/>
                <w:highlight w:val="none"/>
              </w:rPr>
              <w:t>评分标准</w:t>
            </w:r>
          </w:p>
        </w:tc>
      </w:tr>
      <w:tr w14:paraId="0ACA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14:paraId="567D4FA0">
            <w:pPr>
              <w:adjustRightInd w:val="0"/>
              <w:snapToGrid w:val="0"/>
              <w:spacing w:line="360" w:lineRule="exact"/>
              <w:ind w:left="-35" w:right="-38"/>
              <w:jc w:val="both"/>
              <w:rPr>
                <w:rFonts w:hint="eastAsia" w:eastAsia="宋体"/>
                <w:b/>
                <w:color w:val="000000"/>
                <w:sz w:val="21"/>
                <w:szCs w:val="21"/>
                <w:highlight w:val="none"/>
                <w:lang w:eastAsia="zh-CN"/>
              </w:rPr>
            </w:pPr>
            <w:r>
              <w:rPr>
                <w:rFonts w:hint="eastAsia"/>
                <w:b/>
                <w:color w:val="000000"/>
                <w:sz w:val="21"/>
                <w:szCs w:val="21"/>
                <w:highlight w:val="none"/>
              </w:rPr>
              <w:t>技术资信部分</w:t>
            </w:r>
            <w:r>
              <w:rPr>
                <w:rFonts w:hint="eastAsia"/>
                <w:b/>
                <w:color w:val="000000"/>
                <w:sz w:val="21"/>
                <w:szCs w:val="21"/>
                <w:highlight w:val="none"/>
                <w:lang w:eastAsia="zh-CN"/>
              </w:rPr>
              <w:t>（</w:t>
            </w:r>
            <w:r>
              <w:rPr>
                <w:rFonts w:hint="eastAsia"/>
                <w:b/>
                <w:color w:val="000000"/>
                <w:sz w:val="21"/>
                <w:szCs w:val="21"/>
                <w:highlight w:val="none"/>
                <w:lang w:val="en-US" w:eastAsia="zh-CN"/>
              </w:rPr>
              <w:t>90分</w:t>
            </w:r>
            <w:r>
              <w:rPr>
                <w:rFonts w:hint="eastAsia"/>
                <w:b/>
                <w:color w:val="000000"/>
                <w:sz w:val="21"/>
                <w:szCs w:val="21"/>
                <w:highlight w:val="none"/>
                <w:lang w:eastAsia="zh-CN"/>
              </w:rPr>
              <w:t>）</w:t>
            </w:r>
          </w:p>
        </w:tc>
      </w:tr>
      <w:tr w14:paraId="0B92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jc w:val="center"/>
        </w:trPr>
        <w:tc>
          <w:tcPr>
            <w:tcW w:w="2179" w:type="dxa"/>
            <w:tcBorders>
              <w:top w:val="single" w:color="auto" w:sz="4" w:space="0"/>
              <w:left w:val="single" w:color="auto" w:sz="4" w:space="0"/>
              <w:right w:val="single" w:color="auto" w:sz="4" w:space="0"/>
            </w:tcBorders>
            <w:vAlign w:val="center"/>
          </w:tcPr>
          <w:p w14:paraId="17A15021">
            <w:pPr>
              <w:keepNext w:val="0"/>
              <w:keepLines w:val="0"/>
              <w:pageBreakBefore w:val="0"/>
              <w:widowControl w:val="0"/>
              <w:kinsoku/>
              <w:wordWrap/>
              <w:overflowPunct/>
              <w:topLinePunct w:val="0"/>
              <w:autoSpaceDE/>
              <w:autoSpaceDN/>
              <w:bidi w:val="0"/>
              <w:adjustRightInd w:val="0"/>
              <w:snapToGrid w:val="0"/>
              <w:spacing w:line="399" w:lineRule="auto"/>
              <w:ind w:left="-35" w:right="-38"/>
              <w:jc w:val="center"/>
              <w:textAlignment w:val="auto"/>
              <w:rPr>
                <w:rFonts w:hint="eastAsia" w:eastAsia="宋体"/>
                <w:b/>
                <w:color w:val="000000"/>
                <w:sz w:val="21"/>
                <w:szCs w:val="21"/>
                <w:highlight w:val="none"/>
                <w:lang w:eastAsia="zh-CN"/>
              </w:rPr>
            </w:pPr>
            <w:r>
              <w:rPr>
                <w:rFonts w:hint="eastAsia" w:ascii="宋体" w:hAnsi="宋体" w:cs="宋体"/>
                <w:b w:val="0"/>
                <w:bCs w:val="0"/>
                <w:sz w:val="21"/>
                <w:szCs w:val="21"/>
                <w:highlight w:val="none"/>
                <w:lang w:eastAsia="zh-CN"/>
              </w:rPr>
              <w:t>供应商业绩</w:t>
            </w:r>
            <w:r>
              <w:rPr>
                <w:rFonts w:hint="eastAsia" w:ascii="宋体" w:hAnsi="宋体" w:cs="宋体"/>
                <w:b w:val="0"/>
                <w:bCs w:val="0"/>
                <w:sz w:val="21"/>
                <w:szCs w:val="21"/>
                <w:highlight w:val="none"/>
                <w:lang w:val="en-US" w:eastAsia="zh-CN"/>
              </w:rPr>
              <w:t xml:space="preserve">               </w:t>
            </w:r>
            <w:r>
              <w:rPr>
                <w:rFonts w:hint="eastAsia" w:ascii="宋体" w:hAnsi="宋体" w:cs="宋体"/>
                <w:b w:val="0"/>
                <w:bCs w:val="0"/>
                <w:sz w:val="21"/>
                <w:szCs w:val="21"/>
                <w:highlight w:val="none"/>
                <w:lang w:eastAsia="zh-CN"/>
              </w:rPr>
              <w:t>（满分</w:t>
            </w:r>
            <w:r>
              <w:rPr>
                <w:rFonts w:hint="eastAsia" w:ascii="宋体" w:hAnsi="宋体" w:cs="宋体"/>
                <w:b w:val="0"/>
                <w:bCs w:val="0"/>
                <w:sz w:val="21"/>
                <w:szCs w:val="21"/>
                <w:highlight w:val="none"/>
                <w:lang w:val="en-US" w:eastAsia="zh-CN"/>
              </w:rPr>
              <w:t>9分</w:t>
            </w:r>
            <w:r>
              <w:rPr>
                <w:rFonts w:hint="eastAsia" w:ascii="宋体" w:hAnsi="宋体" w:cs="宋体"/>
                <w:b w:val="0"/>
                <w:bCs w:val="0"/>
                <w:sz w:val="21"/>
                <w:szCs w:val="21"/>
                <w:highlight w:val="none"/>
                <w:lang w:eastAsia="zh-CN"/>
              </w:rPr>
              <w:t>）</w:t>
            </w:r>
          </w:p>
        </w:tc>
        <w:tc>
          <w:tcPr>
            <w:tcW w:w="7739" w:type="dxa"/>
            <w:gridSpan w:val="2"/>
            <w:tcBorders>
              <w:top w:val="single" w:color="auto" w:sz="4" w:space="0"/>
              <w:left w:val="single" w:color="auto" w:sz="4" w:space="0"/>
              <w:bottom w:val="single" w:color="auto" w:sz="4" w:space="0"/>
              <w:right w:val="single" w:color="auto" w:sz="4" w:space="0"/>
            </w:tcBorders>
            <w:vAlign w:val="center"/>
          </w:tcPr>
          <w:p w14:paraId="2E1953AC">
            <w:pPr>
              <w:keepNext w:val="0"/>
              <w:keepLines w:val="0"/>
              <w:pageBreakBefore w:val="0"/>
              <w:widowControl w:val="0"/>
              <w:kinsoku/>
              <w:wordWrap/>
              <w:overflowPunct/>
              <w:topLinePunct w:val="0"/>
              <w:autoSpaceDE/>
              <w:autoSpaceDN/>
              <w:bidi w:val="0"/>
              <w:adjustRightInd w:val="0"/>
              <w:snapToGrid w:val="0"/>
              <w:spacing w:line="399" w:lineRule="auto"/>
              <w:ind w:left="-35" w:right="-38" w:firstLine="420" w:firstLineChars="200"/>
              <w:jc w:val="both"/>
              <w:textAlignment w:val="auto"/>
              <w:rPr>
                <w:rFonts w:hint="eastAsia" w:ascii="宋体" w:hAnsi="宋体" w:cs="宋体"/>
                <w:b w:val="0"/>
                <w:bCs w:val="0"/>
                <w:sz w:val="21"/>
                <w:szCs w:val="21"/>
                <w:highlight w:val="none"/>
                <w:lang w:eastAsia="zh-CN"/>
              </w:rPr>
            </w:pPr>
            <w:r>
              <w:rPr>
                <w:rFonts w:hint="eastAsia" w:ascii="宋体" w:hAnsi="宋体" w:cs="宋体"/>
                <w:b w:val="0"/>
                <w:bCs w:val="0"/>
                <w:sz w:val="21"/>
                <w:szCs w:val="21"/>
                <w:highlight w:val="none"/>
                <w:lang w:eastAsia="zh-CN"/>
              </w:rPr>
              <w:t>供应商提供所投产品自2021年1月1日至今（以合同签订日期为准）同类项目业绩证明，每提供</w:t>
            </w:r>
            <w:r>
              <w:rPr>
                <w:rFonts w:hint="eastAsia" w:ascii="宋体" w:hAnsi="宋体" w:cs="宋体"/>
                <w:b w:val="0"/>
                <w:bCs w:val="0"/>
                <w:sz w:val="21"/>
                <w:szCs w:val="21"/>
                <w:highlight w:val="none"/>
                <w:lang w:val="en-US" w:eastAsia="zh-CN"/>
              </w:rPr>
              <w:t>1个业绩得</w:t>
            </w:r>
            <w:r>
              <w:rPr>
                <w:rFonts w:hint="eastAsia" w:ascii="宋体" w:hAnsi="宋体" w:cs="宋体"/>
                <w:b w:val="0"/>
                <w:bCs w:val="0"/>
                <w:sz w:val="21"/>
                <w:szCs w:val="21"/>
                <w:highlight w:val="none"/>
                <w:lang w:eastAsia="zh-CN"/>
              </w:rPr>
              <w:t>3分，满分9分。</w:t>
            </w:r>
          </w:p>
          <w:p w14:paraId="0034BECB">
            <w:pPr>
              <w:keepNext w:val="0"/>
              <w:keepLines w:val="0"/>
              <w:pageBreakBefore w:val="0"/>
              <w:widowControl w:val="0"/>
              <w:kinsoku/>
              <w:wordWrap/>
              <w:overflowPunct/>
              <w:topLinePunct w:val="0"/>
              <w:autoSpaceDE/>
              <w:autoSpaceDN/>
              <w:bidi w:val="0"/>
              <w:adjustRightInd w:val="0"/>
              <w:snapToGrid w:val="0"/>
              <w:spacing w:line="399" w:lineRule="auto"/>
              <w:ind w:right="-38"/>
              <w:jc w:val="both"/>
              <w:textAlignment w:val="auto"/>
              <w:rPr>
                <w:rFonts w:hint="eastAsia" w:ascii="宋体" w:hAnsi="宋体" w:eastAsia="宋体" w:cs="宋体"/>
                <w:b/>
                <w:bCs/>
                <w:i w:val="0"/>
                <w:iCs w:val="0"/>
                <w:color w:val="auto"/>
                <w:sz w:val="21"/>
                <w:szCs w:val="21"/>
                <w:highlight w:val="none"/>
                <w:shd w:val="clear" w:color="auto" w:fill="auto"/>
              </w:rPr>
            </w:pPr>
            <w:r>
              <w:rPr>
                <w:rFonts w:hint="eastAsia" w:ascii="宋体" w:hAnsi="宋体" w:eastAsia="宋体" w:cs="宋体"/>
                <w:b/>
                <w:bCs/>
                <w:i w:val="0"/>
                <w:iCs w:val="0"/>
                <w:color w:val="auto"/>
                <w:sz w:val="21"/>
                <w:szCs w:val="21"/>
                <w:highlight w:val="none"/>
                <w:shd w:val="clear" w:color="auto" w:fill="auto"/>
              </w:rPr>
              <w:t>注：1.同类项目业绩指供应商在国内学校成功实施的网络通识选修课程资源及服务成功案例或网络课程运行服务成功案例，以合同签订时间为准。</w:t>
            </w:r>
          </w:p>
          <w:p w14:paraId="058CFE82">
            <w:pPr>
              <w:keepNext w:val="0"/>
              <w:keepLines w:val="0"/>
              <w:pageBreakBefore w:val="0"/>
              <w:widowControl w:val="0"/>
              <w:kinsoku/>
              <w:wordWrap/>
              <w:overflowPunct/>
              <w:topLinePunct w:val="0"/>
              <w:autoSpaceDE/>
              <w:autoSpaceDN/>
              <w:bidi w:val="0"/>
              <w:adjustRightInd w:val="0"/>
              <w:snapToGrid w:val="0"/>
              <w:spacing w:line="399" w:lineRule="auto"/>
              <w:ind w:left="-35" w:right="-38" w:firstLine="422" w:firstLineChars="200"/>
              <w:jc w:val="both"/>
              <w:textAlignment w:val="auto"/>
              <w:rPr>
                <w:rFonts w:hint="eastAsia" w:ascii="宋体" w:hAnsi="宋体" w:cs="宋体"/>
                <w:b w:val="0"/>
                <w:bCs w:val="0"/>
                <w:sz w:val="21"/>
                <w:szCs w:val="21"/>
                <w:highlight w:val="none"/>
                <w:lang w:val="en-US" w:eastAsia="zh-CN"/>
              </w:rPr>
            </w:pPr>
            <w:r>
              <w:rPr>
                <w:rFonts w:hint="eastAsia" w:ascii="宋体" w:hAnsi="宋体" w:eastAsia="宋体" w:cs="宋体"/>
                <w:b/>
                <w:bCs/>
                <w:i w:val="0"/>
                <w:iCs w:val="0"/>
                <w:color w:val="auto"/>
                <w:sz w:val="21"/>
                <w:szCs w:val="21"/>
                <w:highlight w:val="none"/>
                <w:shd w:val="clear" w:color="auto" w:fill="auto"/>
              </w:rPr>
              <w:t>2.响应文件中须提供业绩合同扫描件或影印件，如合同中无法体现服务内容等，另提供业主证明等相关证明材料。</w:t>
            </w:r>
          </w:p>
        </w:tc>
      </w:tr>
      <w:tr w14:paraId="6431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4" w:hRule="atLeast"/>
          <w:jc w:val="center"/>
        </w:trPr>
        <w:tc>
          <w:tcPr>
            <w:tcW w:w="2179" w:type="dxa"/>
            <w:tcBorders>
              <w:left w:val="single" w:color="auto" w:sz="4" w:space="0"/>
              <w:bottom w:val="single" w:color="auto" w:sz="4" w:space="0"/>
              <w:right w:val="single" w:color="auto" w:sz="4" w:space="0"/>
            </w:tcBorders>
            <w:vAlign w:val="center"/>
          </w:tcPr>
          <w:p w14:paraId="416BDFF1">
            <w:pPr>
              <w:keepNext w:val="0"/>
              <w:keepLines w:val="0"/>
              <w:pageBreakBefore w:val="0"/>
              <w:widowControl w:val="0"/>
              <w:kinsoku/>
              <w:wordWrap/>
              <w:overflowPunct/>
              <w:topLinePunct w:val="0"/>
              <w:autoSpaceDE/>
              <w:autoSpaceDN/>
              <w:bidi w:val="0"/>
              <w:adjustRightInd w:val="0"/>
              <w:snapToGrid w:val="0"/>
              <w:spacing w:line="399" w:lineRule="auto"/>
              <w:ind w:left="-35" w:right="-38"/>
              <w:jc w:val="center"/>
              <w:textAlignment w:val="auto"/>
              <w:rPr>
                <w:rFonts w:hint="eastAsia" w:ascii="宋体" w:hAnsi="宋体" w:cs="宋体"/>
                <w:b w:val="0"/>
                <w:bCs w:val="0"/>
                <w:sz w:val="21"/>
                <w:szCs w:val="21"/>
                <w:highlight w:val="none"/>
                <w:lang w:eastAsia="zh-CN"/>
              </w:rPr>
            </w:pPr>
            <w:r>
              <w:rPr>
                <w:rFonts w:hint="eastAsia" w:ascii="宋体" w:hAnsi="宋体" w:cs="宋体"/>
                <w:b w:val="0"/>
                <w:bCs w:val="0"/>
                <w:sz w:val="21"/>
                <w:szCs w:val="21"/>
                <w:highlight w:val="none"/>
                <w:lang w:val="en-US" w:eastAsia="zh-CN"/>
              </w:rPr>
              <w:t xml:space="preserve">企业实力               </w:t>
            </w:r>
            <w:r>
              <w:rPr>
                <w:rFonts w:hint="eastAsia" w:ascii="宋体" w:hAnsi="宋体" w:cs="宋体"/>
                <w:b w:val="0"/>
                <w:bCs w:val="0"/>
                <w:sz w:val="21"/>
                <w:szCs w:val="21"/>
                <w:highlight w:val="none"/>
                <w:lang w:eastAsia="zh-CN"/>
              </w:rPr>
              <w:t>（满分</w:t>
            </w:r>
            <w:r>
              <w:rPr>
                <w:rFonts w:hint="eastAsia" w:ascii="宋体" w:hAnsi="宋体" w:cs="宋体"/>
                <w:b w:val="0"/>
                <w:bCs w:val="0"/>
                <w:sz w:val="21"/>
                <w:szCs w:val="21"/>
                <w:highlight w:val="none"/>
                <w:lang w:val="en-US" w:eastAsia="zh-CN"/>
              </w:rPr>
              <w:t>16分）</w:t>
            </w:r>
          </w:p>
        </w:tc>
        <w:tc>
          <w:tcPr>
            <w:tcW w:w="7739" w:type="dxa"/>
            <w:gridSpan w:val="2"/>
            <w:tcBorders>
              <w:top w:val="single" w:color="auto" w:sz="4" w:space="0"/>
              <w:left w:val="single" w:color="auto" w:sz="4" w:space="0"/>
              <w:bottom w:val="single" w:color="auto" w:sz="4" w:space="0"/>
              <w:right w:val="single" w:color="auto" w:sz="4" w:space="0"/>
            </w:tcBorders>
            <w:vAlign w:val="center"/>
          </w:tcPr>
          <w:p w14:paraId="0A9A4E1A">
            <w:pPr>
              <w:keepNext w:val="0"/>
              <w:keepLines w:val="0"/>
              <w:pageBreakBefore w:val="0"/>
              <w:widowControl w:val="0"/>
              <w:kinsoku/>
              <w:wordWrap/>
              <w:overflowPunct/>
              <w:topLinePunct w:val="0"/>
              <w:autoSpaceDE/>
              <w:autoSpaceDN/>
              <w:bidi w:val="0"/>
              <w:adjustRightInd w:val="0"/>
              <w:snapToGrid w:val="0"/>
              <w:spacing w:line="399" w:lineRule="auto"/>
              <w:ind w:right="-38"/>
              <w:jc w:val="both"/>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1</w:t>
            </w:r>
            <w:r>
              <w:rPr>
                <w:rFonts w:hint="eastAsia" w:ascii="宋体" w:hAnsi="宋体" w:cs="宋体"/>
                <w:b w:val="0"/>
                <w:bCs w:val="0"/>
                <w:sz w:val="21"/>
                <w:szCs w:val="21"/>
                <w:highlight w:val="none"/>
                <w:lang w:val="en-US" w:eastAsia="zh-CN"/>
              </w:rPr>
              <w:t>.供应商</w:t>
            </w:r>
            <w:r>
              <w:rPr>
                <w:rFonts w:hint="eastAsia" w:ascii="宋体" w:hAnsi="宋体" w:cs="宋体"/>
                <w:b w:val="0"/>
                <w:bCs w:val="0"/>
                <w:sz w:val="21"/>
                <w:szCs w:val="21"/>
                <w:highlight w:val="none"/>
                <w:lang w:eastAsia="zh-CN"/>
              </w:rPr>
              <w:t>具有有效期内的</w:t>
            </w:r>
            <w:r>
              <w:rPr>
                <w:rFonts w:hint="eastAsia" w:ascii="宋体" w:hAnsi="宋体" w:eastAsia="宋体" w:cs="宋体"/>
                <w:b w:val="0"/>
                <w:bCs w:val="0"/>
                <w:sz w:val="21"/>
                <w:szCs w:val="21"/>
                <w:highlight w:val="none"/>
                <w:lang w:eastAsia="zh-CN"/>
              </w:rPr>
              <w:t>AAA级企业信用等级证书的</w:t>
            </w:r>
            <w:r>
              <w:rPr>
                <w:rFonts w:hint="eastAsia" w:ascii="宋体" w:hAnsi="宋体" w:cs="宋体"/>
                <w:b w:val="0"/>
                <w:bCs w:val="0"/>
                <w:sz w:val="21"/>
                <w:szCs w:val="21"/>
                <w:highlight w:val="none"/>
                <w:lang w:eastAsia="zh-CN"/>
              </w:rPr>
              <w:t>，</w:t>
            </w:r>
            <w:r>
              <w:rPr>
                <w:rFonts w:hint="eastAsia" w:ascii="宋体" w:hAnsi="宋体" w:eastAsia="宋体" w:cs="宋体"/>
                <w:b w:val="0"/>
                <w:bCs w:val="0"/>
                <w:sz w:val="21"/>
                <w:szCs w:val="21"/>
                <w:highlight w:val="none"/>
                <w:lang w:eastAsia="zh-CN"/>
              </w:rPr>
              <w:t>得2分</w:t>
            </w:r>
            <w:r>
              <w:rPr>
                <w:rFonts w:hint="eastAsia" w:ascii="宋体" w:hAnsi="宋体" w:cs="宋体"/>
                <w:b w:val="0"/>
                <w:bCs w:val="0"/>
                <w:sz w:val="21"/>
                <w:szCs w:val="21"/>
                <w:highlight w:val="none"/>
                <w:lang w:eastAsia="zh-CN"/>
              </w:rPr>
              <w:t>；</w:t>
            </w:r>
          </w:p>
          <w:p w14:paraId="548D2D00">
            <w:pPr>
              <w:keepNext w:val="0"/>
              <w:keepLines w:val="0"/>
              <w:pageBreakBefore w:val="0"/>
              <w:widowControl w:val="0"/>
              <w:kinsoku/>
              <w:wordWrap/>
              <w:overflowPunct/>
              <w:topLinePunct w:val="0"/>
              <w:autoSpaceDE/>
              <w:autoSpaceDN/>
              <w:bidi w:val="0"/>
              <w:adjustRightInd w:val="0"/>
              <w:snapToGrid w:val="0"/>
              <w:spacing w:line="399" w:lineRule="auto"/>
              <w:ind w:right="-38"/>
              <w:jc w:val="both"/>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2</w:t>
            </w:r>
            <w:r>
              <w:rPr>
                <w:rFonts w:hint="eastAsia" w:ascii="宋体" w:hAnsi="宋体" w:cs="宋体"/>
                <w:b w:val="0"/>
                <w:bCs w:val="0"/>
                <w:sz w:val="21"/>
                <w:szCs w:val="21"/>
                <w:highlight w:val="none"/>
                <w:lang w:val="en-US" w:eastAsia="zh-CN"/>
              </w:rPr>
              <w:t>.</w:t>
            </w:r>
            <w:r>
              <w:rPr>
                <w:rFonts w:hint="eastAsia" w:ascii="宋体" w:hAnsi="宋体" w:cs="宋体"/>
                <w:b w:val="0"/>
                <w:bCs w:val="0"/>
                <w:sz w:val="21"/>
                <w:szCs w:val="21"/>
                <w:highlight w:val="none"/>
                <w:lang w:eastAsia="zh-CN"/>
              </w:rPr>
              <w:t>供应商具有</w:t>
            </w:r>
            <w:r>
              <w:rPr>
                <w:rFonts w:hint="eastAsia" w:ascii="宋体" w:hAnsi="宋体" w:eastAsia="宋体" w:cs="宋体"/>
                <w:b w:val="0"/>
                <w:bCs w:val="0"/>
                <w:sz w:val="21"/>
                <w:szCs w:val="21"/>
                <w:highlight w:val="none"/>
                <w:lang w:eastAsia="zh-CN"/>
              </w:rPr>
              <w:t>有效期内的ISO 9001质量管理体系认证证书的</w:t>
            </w:r>
            <w:r>
              <w:rPr>
                <w:rFonts w:hint="eastAsia" w:ascii="宋体" w:hAnsi="宋体" w:cs="宋体"/>
                <w:b w:val="0"/>
                <w:bCs w:val="0"/>
                <w:sz w:val="21"/>
                <w:szCs w:val="21"/>
                <w:highlight w:val="none"/>
                <w:lang w:eastAsia="zh-CN"/>
              </w:rPr>
              <w:t>，</w:t>
            </w:r>
            <w:r>
              <w:rPr>
                <w:rFonts w:hint="eastAsia" w:ascii="宋体" w:hAnsi="宋体" w:eastAsia="宋体" w:cs="宋体"/>
                <w:b w:val="0"/>
                <w:bCs w:val="0"/>
                <w:sz w:val="21"/>
                <w:szCs w:val="21"/>
                <w:highlight w:val="none"/>
                <w:lang w:eastAsia="zh-CN"/>
              </w:rPr>
              <w:t>得2分</w:t>
            </w:r>
            <w:r>
              <w:rPr>
                <w:rFonts w:hint="eastAsia" w:ascii="宋体" w:hAnsi="宋体" w:cs="宋体"/>
                <w:b w:val="0"/>
                <w:bCs w:val="0"/>
                <w:sz w:val="21"/>
                <w:szCs w:val="21"/>
                <w:highlight w:val="none"/>
                <w:lang w:eastAsia="zh-CN"/>
              </w:rPr>
              <w:t>；</w:t>
            </w:r>
            <w:r>
              <w:rPr>
                <w:rFonts w:hint="eastAsia" w:ascii="宋体" w:hAnsi="宋体" w:eastAsia="宋体" w:cs="宋体"/>
                <w:b w:val="0"/>
                <w:bCs w:val="0"/>
                <w:sz w:val="21"/>
                <w:szCs w:val="21"/>
                <w:highlight w:val="none"/>
                <w:lang w:eastAsia="zh-CN"/>
              </w:rPr>
              <w:t xml:space="preserve"> </w:t>
            </w:r>
          </w:p>
          <w:p w14:paraId="3B700119">
            <w:pPr>
              <w:keepNext w:val="0"/>
              <w:keepLines w:val="0"/>
              <w:pageBreakBefore w:val="0"/>
              <w:widowControl w:val="0"/>
              <w:kinsoku/>
              <w:wordWrap/>
              <w:overflowPunct/>
              <w:topLinePunct w:val="0"/>
              <w:autoSpaceDE/>
              <w:autoSpaceDN/>
              <w:bidi w:val="0"/>
              <w:adjustRightInd w:val="0"/>
              <w:snapToGrid w:val="0"/>
              <w:spacing w:line="399" w:lineRule="auto"/>
              <w:ind w:right="-38"/>
              <w:jc w:val="both"/>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3</w:t>
            </w:r>
            <w:r>
              <w:rPr>
                <w:rFonts w:hint="eastAsia" w:ascii="宋体" w:hAnsi="宋体" w:cs="宋体"/>
                <w:b w:val="0"/>
                <w:bCs w:val="0"/>
                <w:sz w:val="21"/>
                <w:szCs w:val="21"/>
                <w:highlight w:val="none"/>
                <w:lang w:val="en-US" w:eastAsia="zh-CN"/>
              </w:rPr>
              <w:t>.供应商具有有效期内的</w:t>
            </w:r>
            <w:r>
              <w:rPr>
                <w:rFonts w:hint="eastAsia" w:ascii="宋体" w:hAnsi="宋体" w:eastAsia="宋体" w:cs="宋体"/>
                <w:b w:val="0"/>
                <w:bCs w:val="0"/>
                <w:sz w:val="21"/>
                <w:szCs w:val="21"/>
                <w:highlight w:val="none"/>
                <w:lang w:eastAsia="zh-CN"/>
              </w:rPr>
              <w:t>高新技术企业认证证书的</w:t>
            </w:r>
            <w:r>
              <w:rPr>
                <w:rFonts w:hint="eastAsia" w:ascii="宋体" w:hAnsi="宋体" w:cs="宋体"/>
                <w:b w:val="0"/>
                <w:bCs w:val="0"/>
                <w:sz w:val="21"/>
                <w:szCs w:val="21"/>
                <w:highlight w:val="none"/>
                <w:lang w:eastAsia="zh-CN"/>
              </w:rPr>
              <w:t>，</w:t>
            </w:r>
            <w:r>
              <w:rPr>
                <w:rFonts w:hint="eastAsia" w:ascii="宋体" w:hAnsi="宋体" w:eastAsia="宋体" w:cs="宋体"/>
                <w:b w:val="0"/>
                <w:bCs w:val="0"/>
                <w:sz w:val="21"/>
                <w:szCs w:val="21"/>
                <w:highlight w:val="none"/>
                <w:lang w:eastAsia="zh-CN"/>
              </w:rPr>
              <w:t>得2分</w:t>
            </w:r>
            <w:r>
              <w:rPr>
                <w:rFonts w:hint="eastAsia" w:ascii="宋体" w:hAnsi="宋体" w:cs="宋体"/>
                <w:b w:val="0"/>
                <w:bCs w:val="0"/>
                <w:sz w:val="21"/>
                <w:szCs w:val="21"/>
                <w:highlight w:val="none"/>
                <w:lang w:eastAsia="zh-CN"/>
              </w:rPr>
              <w:t>；</w:t>
            </w:r>
            <w:r>
              <w:rPr>
                <w:rFonts w:hint="eastAsia" w:ascii="宋体" w:hAnsi="宋体" w:eastAsia="宋体" w:cs="宋体"/>
                <w:b w:val="0"/>
                <w:bCs w:val="0"/>
                <w:sz w:val="21"/>
                <w:szCs w:val="21"/>
                <w:highlight w:val="none"/>
                <w:lang w:eastAsia="zh-CN"/>
              </w:rPr>
              <w:t xml:space="preserve"> </w:t>
            </w:r>
          </w:p>
          <w:p w14:paraId="7180B2A0">
            <w:pPr>
              <w:keepNext w:val="0"/>
              <w:keepLines w:val="0"/>
              <w:pageBreakBefore w:val="0"/>
              <w:widowControl w:val="0"/>
              <w:kinsoku/>
              <w:wordWrap/>
              <w:overflowPunct/>
              <w:topLinePunct w:val="0"/>
              <w:autoSpaceDE/>
              <w:autoSpaceDN/>
              <w:bidi w:val="0"/>
              <w:adjustRightInd w:val="0"/>
              <w:snapToGrid w:val="0"/>
              <w:spacing w:line="399" w:lineRule="auto"/>
              <w:ind w:right="-38"/>
              <w:jc w:val="both"/>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4</w:t>
            </w:r>
            <w:r>
              <w:rPr>
                <w:rFonts w:hint="eastAsia" w:ascii="宋体" w:hAnsi="宋体" w:cs="宋体"/>
                <w:b w:val="0"/>
                <w:bCs w:val="0"/>
                <w:sz w:val="21"/>
                <w:szCs w:val="21"/>
                <w:highlight w:val="none"/>
                <w:lang w:val="en-US" w:eastAsia="zh-CN"/>
              </w:rPr>
              <w:t>.</w:t>
            </w:r>
            <w:r>
              <w:rPr>
                <w:rFonts w:hint="eastAsia" w:ascii="宋体" w:hAnsi="宋体" w:cs="宋体"/>
                <w:b w:val="0"/>
                <w:bCs w:val="0"/>
                <w:sz w:val="21"/>
                <w:szCs w:val="21"/>
                <w:highlight w:val="none"/>
                <w:lang w:eastAsia="zh-CN"/>
              </w:rPr>
              <w:t>供应商具有有效期内基于大数据的数据挖掘平台的软件著作权证书的，</w:t>
            </w:r>
            <w:r>
              <w:rPr>
                <w:rFonts w:hint="eastAsia" w:ascii="宋体" w:hAnsi="宋体" w:eastAsia="宋体" w:cs="宋体"/>
                <w:b w:val="0"/>
                <w:bCs w:val="0"/>
                <w:sz w:val="21"/>
                <w:szCs w:val="21"/>
                <w:highlight w:val="none"/>
                <w:lang w:eastAsia="zh-CN"/>
              </w:rPr>
              <w:t>得2分；</w:t>
            </w:r>
          </w:p>
          <w:p w14:paraId="0B42F8DC">
            <w:pPr>
              <w:keepNext w:val="0"/>
              <w:keepLines w:val="0"/>
              <w:pageBreakBefore w:val="0"/>
              <w:widowControl w:val="0"/>
              <w:kinsoku/>
              <w:wordWrap/>
              <w:overflowPunct/>
              <w:topLinePunct w:val="0"/>
              <w:autoSpaceDE/>
              <w:autoSpaceDN/>
              <w:bidi w:val="0"/>
              <w:adjustRightInd w:val="0"/>
              <w:snapToGrid w:val="0"/>
              <w:spacing w:line="399" w:lineRule="auto"/>
              <w:ind w:right="-38"/>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5.供应商具有有效期内的智慧教学课程在线管理系统软件著作权证书的，得2分。</w:t>
            </w:r>
          </w:p>
          <w:p w14:paraId="2EECC0E2">
            <w:pPr>
              <w:keepNext w:val="0"/>
              <w:keepLines w:val="0"/>
              <w:pageBreakBefore w:val="0"/>
              <w:widowControl w:val="0"/>
              <w:kinsoku/>
              <w:wordWrap/>
              <w:overflowPunct/>
              <w:topLinePunct w:val="0"/>
              <w:autoSpaceDE/>
              <w:autoSpaceDN/>
              <w:bidi w:val="0"/>
              <w:adjustRightInd w:val="0"/>
              <w:snapToGrid w:val="0"/>
              <w:spacing w:line="399" w:lineRule="auto"/>
              <w:ind w:right="-38"/>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6.供应商具有有效期内的分级在线阅读服务平台管理系统软件著作权证书的，得2分。</w:t>
            </w:r>
          </w:p>
          <w:p w14:paraId="0328E313">
            <w:pPr>
              <w:keepNext w:val="0"/>
              <w:keepLines w:val="0"/>
              <w:pageBreakBefore w:val="0"/>
              <w:widowControl w:val="0"/>
              <w:kinsoku/>
              <w:wordWrap/>
              <w:overflowPunct/>
              <w:topLinePunct w:val="0"/>
              <w:autoSpaceDE/>
              <w:autoSpaceDN/>
              <w:bidi w:val="0"/>
              <w:adjustRightInd w:val="0"/>
              <w:snapToGrid w:val="0"/>
              <w:spacing w:line="399" w:lineRule="auto"/>
              <w:ind w:right="-38"/>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7.供应商具有有效期内的课程运行可视化管理系统软件著作权证书的，得2分。</w:t>
            </w:r>
          </w:p>
          <w:p w14:paraId="7E41D3B3">
            <w:pPr>
              <w:keepNext w:val="0"/>
              <w:keepLines w:val="0"/>
              <w:pageBreakBefore w:val="0"/>
              <w:widowControl w:val="0"/>
              <w:kinsoku/>
              <w:wordWrap/>
              <w:overflowPunct/>
              <w:topLinePunct w:val="0"/>
              <w:autoSpaceDE/>
              <w:autoSpaceDN/>
              <w:bidi w:val="0"/>
              <w:adjustRightInd w:val="0"/>
              <w:snapToGrid w:val="0"/>
              <w:spacing w:line="399" w:lineRule="auto"/>
              <w:ind w:right="-38"/>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8.供应商具有有效期内的统一检索平台软件著作权证书的，得2分。</w:t>
            </w:r>
          </w:p>
          <w:p w14:paraId="470B1B6C">
            <w:pPr>
              <w:keepNext w:val="0"/>
              <w:keepLines w:val="0"/>
              <w:pageBreakBefore w:val="0"/>
              <w:widowControl w:val="0"/>
              <w:kinsoku/>
              <w:wordWrap/>
              <w:overflowPunct/>
              <w:topLinePunct w:val="0"/>
              <w:autoSpaceDE/>
              <w:autoSpaceDN/>
              <w:bidi w:val="0"/>
              <w:adjustRightInd w:val="0"/>
              <w:snapToGrid w:val="0"/>
              <w:spacing w:line="399" w:lineRule="auto"/>
              <w:ind w:right="-38"/>
              <w:jc w:val="both"/>
              <w:textAlignment w:val="auto"/>
              <w:rPr>
                <w:rFonts w:hint="eastAsia" w:ascii="宋体" w:hAnsi="宋体" w:eastAsia="宋体" w:cs="宋体"/>
                <w:b/>
                <w:bCs/>
                <w:i w:val="0"/>
                <w:iCs w:val="0"/>
                <w:color w:val="auto"/>
                <w:sz w:val="21"/>
                <w:szCs w:val="21"/>
                <w:highlight w:val="none"/>
              </w:rPr>
            </w:pPr>
            <w:r>
              <w:rPr>
                <w:rFonts w:hint="eastAsia" w:ascii="宋体" w:hAnsi="宋体" w:eastAsia="宋体" w:cs="宋体"/>
                <w:b w:val="0"/>
                <w:bCs w:val="0"/>
                <w:sz w:val="21"/>
                <w:szCs w:val="21"/>
                <w:highlight w:val="none"/>
                <w:lang w:val="en-US" w:eastAsia="zh-CN"/>
              </w:rPr>
              <w:t>本项满分16分。</w:t>
            </w:r>
            <w:r>
              <w:rPr>
                <w:rFonts w:hint="eastAsia" w:ascii="宋体" w:hAnsi="宋体" w:eastAsia="宋体" w:cs="宋体"/>
                <w:b w:val="0"/>
                <w:bCs w:val="0"/>
                <w:kern w:val="2"/>
                <w:sz w:val="21"/>
                <w:szCs w:val="21"/>
                <w:highlight w:val="none"/>
                <w:lang w:val="en-US" w:eastAsia="zh-CN" w:bidi="ar-SA"/>
              </w:rPr>
              <w:br w:type="textWrapping"/>
            </w:r>
            <w:r>
              <w:rPr>
                <w:rFonts w:hint="eastAsia" w:ascii="宋体" w:hAnsi="宋体" w:eastAsia="宋体" w:cs="宋体"/>
                <w:b/>
                <w:bCs/>
                <w:i w:val="0"/>
                <w:iCs w:val="0"/>
                <w:color w:val="auto"/>
                <w:sz w:val="21"/>
                <w:szCs w:val="21"/>
                <w:highlight w:val="none"/>
                <w:shd w:val="clear" w:color="auto" w:fill="auto"/>
              </w:rPr>
              <w:t>注：响应文件中须提供</w:t>
            </w:r>
            <w:r>
              <w:rPr>
                <w:rFonts w:hint="eastAsia" w:ascii="宋体" w:hAnsi="宋体" w:cs="宋体"/>
                <w:b/>
                <w:bCs/>
                <w:i w:val="0"/>
                <w:iCs w:val="0"/>
                <w:color w:val="auto"/>
                <w:sz w:val="21"/>
                <w:szCs w:val="21"/>
                <w:highlight w:val="none"/>
                <w:shd w:val="clear" w:color="auto" w:fill="auto"/>
                <w:lang w:eastAsia="zh-CN"/>
              </w:rPr>
              <w:t>上述</w:t>
            </w:r>
            <w:r>
              <w:rPr>
                <w:rFonts w:hint="eastAsia" w:ascii="宋体" w:hAnsi="宋体" w:eastAsia="宋体" w:cs="宋体"/>
                <w:b/>
                <w:bCs/>
                <w:i w:val="0"/>
                <w:iCs w:val="0"/>
                <w:color w:val="auto"/>
                <w:sz w:val="21"/>
                <w:szCs w:val="21"/>
                <w:highlight w:val="none"/>
                <w:shd w:val="clear" w:color="auto" w:fill="auto"/>
              </w:rPr>
              <w:t>证书扫描件或影印件，未提供不得分。</w:t>
            </w:r>
          </w:p>
        </w:tc>
      </w:tr>
      <w:tr w14:paraId="26EA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9" w:type="dxa"/>
            <w:vAlign w:val="center"/>
          </w:tcPr>
          <w:p w14:paraId="40132D57">
            <w:pPr>
              <w:keepNext w:val="0"/>
              <w:keepLines w:val="0"/>
              <w:pageBreakBefore w:val="0"/>
              <w:widowControl w:val="0"/>
              <w:kinsoku/>
              <w:wordWrap/>
              <w:overflowPunct/>
              <w:topLinePunct w:val="0"/>
              <w:autoSpaceDE/>
              <w:autoSpaceDN/>
              <w:bidi w:val="0"/>
              <w:spacing w:line="399" w:lineRule="auto"/>
              <w:jc w:val="center"/>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cs="宋体"/>
                <w:b w:val="0"/>
                <w:bCs w:val="0"/>
                <w:sz w:val="21"/>
                <w:szCs w:val="21"/>
                <w:highlight w:val="none"/>
                <w:lang w:val="en-US" w:eastAsia="zh-CN"/>
              </w:rPr>
              <w:t>采购需求</w:t>
            </w:r>
            <w:r>
              <w:rPr>
                <w:rFonts w:hint="eastAsia" w:ascii="宋体" w:hAnsi="宋体" w:eastAsia="宋体" w:cs="宋体"/>
                <w:b w:val="0"/>
                <w:bCs w:val="0"/>
                <w:sz w:val="21"/>
                <w:szCs w:val="21"/>
                <w:highlight w:val="none"/>
                <w:lang w:val="en-US" w:eastAsia="zh-CN"/>
              </w:rPr>
              <w:t xml:space="preserve">要求响应          </w:t>
            </w:r>
            <w:r>
              <w:rPr>
                <w:rFonts w:hint="eastAsia" w:ascii="宋体" w:hAnsi="宋体" w:eastAsia="宋体" w:cs="宋体"/>
                <w:b w:val="0"/>
                <w:bCs w:val="0"/>
                <w:sz w:val="21"/>
                <w:szCs w:val="21"/>
                <w:highlight w:val="none"/>
                <w:lang w:eastAsia="zh-CN"/>
              </w:rPr>
              <w:t>（满分</w:t>
            </w:r>
            <w:r>
              <w:rPr>
                <w:rFonts w:hint="eastAsia" w:ascii="宋体" w:hAnsi="宋体" w:cs="宋体"/>
                <w:b w:val="0"/>
                <w:bCs w:val="0"/>
                <w:sz w:val="21"/>
                <w:szCs w:val="21"/>
                <w:highlight w:val="none"/>
                <w:lang w:val="en-US" w:eastAsia="zh-CN"/>
              </w:rPr>
              <w:t>20</w:t>
            </w:r>
            <w:r>
              <w:rPr>
                <w:rFonts w:hint="eastAsia" w:ascii="宋体" w:hAnsi="宋体" w:eastAsia="宋体" w:cs="宋体"/>
                <w:b w:val="0"/>
                <w:bCs w:val="0"/>
                <w:sz w:val="21"/>
                <w:szCs w:val="21"/>
                <w:highlight w:val="none"/>
                <w:lang w:val="en-US" w:eastAsia="zh-CN"/>
              </w:rPr>
              <w:t>分</w:t>
            </w:r>
            <w:r>
              <w:rPr>
                <w:rFonts w:hint="eastAsia" w:ascii="宋体" w:hAnsi="宋体" w:eastAsia="宋体" w:cs="宋体"/>
                <w:b w:val="0"/>
                <w:bCs w:val="0"/>
                <w:sz w:val="21"/>
                <w:szCs w:val="21"/>
                <w:highlight w:val="none"/>
                <w:lang w:eastAsia="zh-CN"/>
              </w:rPr>
              <w:t>）</w:t>
            </w:r>
          </w:p>
        </w:tc>
        <w:tc>
          <w:tcPr>
            <w:tcW w:w="7739" w:type="dxa"/>
            <w:gridSpan w:val="2"/>
            <w:vAlign w:val="center"/>
          </w:tcPr>
          <w:p w14:paraId="41DF86EE">
            <w:pPr>
              <w:keepNext w:val="0"/>
              <w:keepLines w:val="0"/>
              <w:pageBreakBefore w:val="0"/>
              <w:widowControl w:val="0"/>
              <w:kinsoku/>
              <w:wordWrap/>
              <w:overflowPunct/>
              <w:topLinePunct w:val="0"/>
              <w:autoSpaceDE/>
              <w:autoSpaceDN/>
              <w:bidi w:val="0"/>
              <w:spacing w:before="91" w:line="399" w:lineRule="auto"/>
              <w:ind w:left="107" w:right="73" w:firstLine="420" w:firstLineChars="200"/>
              <w:jc w:val="both"/>
              <w:textAlignment w:val="auto"/>
              <w:rPr>
                <w:rFonts w:hint="eastAsia" w:ascii="宋体" w:hAnsi="宋体" w:eastAsia="宋体" w:cs="宋体"/>
                <w:kern w:val="2"/>
                <w:sz w:val="21"/>
                <w:szCs w:val="21"/>
                <w:lang w:val="en-US" w:eastAsia="zh-CN" w:bidi="zh-CN"/>
              </w:rPr>
            </w:pPr>
            <w:r>
              <w:rPr>
                <w:rFonts w:hint="eastAsia" w:ascii="宋体" w:hAnsi="宋体" w:cs="宋体"/>
                <w:kern w:val="2"/>
                <w:sz w:val="21"/>
                <w:szCs w:val="21"/>
                <w:lang w:val="en-US" w:eastAsia="zh-CN" w:bidi="zh-CN"/>
              </w:rPr>
              <w:t>根据磋商文件中采购需求</w:t>
            </w:r>
            <w:r>
              <w:rPr>
                <w:rFonts w:hint="eastAsia" w:ascii="宋体" w:hAnsi="宋体" w:eastAsia="宋体" w:cs="宋体"/>
                <w:kern w:val="2"/>
                <w:sz w:val="21"/>
                <w:szCs w:val="21"/>
                <w:lang w:val="en-US" w:eastAsia="zh-CN" w:bidi="zh-CN"/>
              </w:rPr>
              <w:t>的响应情况。所有项无偏离得20分，其中“★负偏离一项扣2分，“▲” 负偏离一项扣1分，扣完为止</w:t>
            </w:r>
            <w:r>
              <w:rPr>
                <w:rFonts w:hint="eastAsia" w:ascii="宋体" w:hAnsi="宋体" w:cs="宋体"/>
                <w:kern w:val="2"/>
                <w:sz w:val="21"/>
                <w:szCs w:val="21"/>
                <w:lang w:val="en-US" w:eastAsia="zh-CN" w:bidi="zh-CN"/>
              </w:rPr>
              <w:t>。</w:t>
            </w:r>
          </w:p>
          <w:p w14:paraId="025AD4DF">
            <w:pPr>
              <w:keepNext w:val="0"/>
              <w:keepLines w:val="0"/>
              <w:pageBreakBefore w:val="0"/>
              <w:widowControl w:val="0"/>
              <w:kinsoku/>
              <w:wordWrap/>
              <w:overflowPunct/>
              <w:topLinePunct w:val="0"/>
              <w:autoSpaceDE/>
              <w:autoSpaceDN/>
              <w:bidi w:val="0"/>
              <w:adjustRightInd/>
              <w:snapToGrid/>
              <w:spacing w:line="399" w:lineRule="auto"/>
              <w:ind w:firstLine="422" w:firstLineChars="200"/>
              <w:textAlignment w:val="auto"/>
              <w:rPr>
                <w:rFonts w:hint="eastAsia" w:eastAsia="宋体"/>
                <w:b w:val="0"/>
                <w:bCs w:val="0"/>
                <w:highlight w:val="none"/>
                <w:lang w:val="en-US" w:eastAsia="zh-CN"/>
              </w:rPr>
            </w:pPr>
            <w:r>
              <w:rPr>
                <w:rFonts w:hint="eastAsia" w:ascii="宋体" w:hAnsi="宋体" w:eastAsia="宋体" w:cs="宋体"/>
                <w:b/>
                <w:bCs/>
                <w:color w:val="000000"/>
                <w:kern w:val="0"/>
                <w:sz w:val="21"/>
                <w:szCs w:val="21"/>
                <w:highlight w:val="none"/>
                <w:lang w:val="en-US" w:eastAsia="zh-CN" w:bidi="ar"/>
              </w:rPr>
              <w:t>注：以“第四章 采购需求”中“</w:t>
            </w:r>
            <w:r>
              <w:rPr>
                <w:rFonts w:hint="eastAsia" w:ascii="宋体" w:hAnsi="宋体" w:cs="宋体"/>
                <w:b/>
                <w:bCs/>
                <w:color w:val="000000"/>
                <w:kern w:val="0"/>
                <w:sz w:val="21"/>
                <w:szCs w:val="21"/>
                <w:highlight w:val="none"/>
                <w:lang w:val="en-US" w:eastAsia="zh-CN" w:bidi="ar"/>
              </w:rPr>
              <w:t>二、服务要求与内容</w:t>
            </w:r>
            <w:r>
              <w:rPr>
                <w:rFonts w:hint="eastAsia" w:ascii="宋体" w:hAnsi="宋体" w:eastAsia="宋体" w:cs="宋体"/>
                <w:b/>
                <w:bCs/>
                <w:color w:val="000000"/>
                <w:kern w:val="0"/>
                <w:sz w:val="21"/>
                <w:szCs w:val="21"/>
                <w:highlight w:val="none"/>
                <w:lang w:val="en-US" w:eastAsia="zh-CN" w:bidi="ar"/>
              </w:rPr>
              <w:t>”所要求的参数规格等作为评审依据。</w:t>
            </w:r>
          </w:p>
        </w:tc>
      </w:tr>
      <w:tr w14:paraId="724A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5" w:hRule="atLeast"/>
          <w:jc w:val="center"/>
        </w:trPr>
        <w:tc>
          <w:tcPr>
            <w:tcW w:w="2179" w:type="dxa"/>
            <w:vAlign w:val="center"/>
          </w:tcPr>
          <w:p w14:paraId="45B02199">
            <w:pPr>
              <w:keepNext w:val="0"/>
              <w:keepLines w:val="0"/>
              <w:pageBreakBefore w:val="0"/>
              <w:widowControl w:val="0"/>
              <w:kinsoku/>
              <w:wordWrap/>
              <w:overflowPunct/>
              <w:topLinePunct w:val="0"/>
              <w:autoSpaceDE/>
              <w:autoSpaceDN/>
              <w:bidi w:val="0"/>
              <w:spacing w:line="399"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辅助教学资源 </w:t>
            </w:r>
          </w:p>
          <w:p w14:paraId="11F4F6D5">
            <w:pPr>
              <w:keepNext w:val="0"/>
              <w:keepLines w:val="0"/>
              <w:pageBreakBefore w:val="0"/>
              <w:widowControl w:val="0"/>
              <w:kinsoku/>
              <w:wordWrap/>
              <w:overflowPunct/>
              <w:topLinePunct w:val="0"/>
              <w:autoSpaceDE/>
              <w:autoSpaceDN/>
              <w:bidi w:val="0"/>
              <w:spacing w:line="399"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（满分20分）</w:t>
            </w:r>
          </w:p>
        </w:tc>
        <w:tc>
          <w:tcPr>
            <w:tcW w:w="7739" w:type="dxa"/>
            <w:gridSpan w:val="2"/>
            <w:vAlign w:val="center"/>
          </w:tcPr>
          <w:p w14:paraId="7037ABBD">
            <w:pPr>
              <w:keepNext w:val="0"/>
              <w:keepLines w:val="0"/>
              <w:pageBreakBefore w:val="0"/>
              <w:widowControl w:val="0"/>
              <w:kinsoku/>
              <w:wordWrap/>
              <w:overflowPunct/>
              <w:topLinePunct w:val="0"/>
              <w:autoSpaceDE/>
              <w:autoSpaceDN/>
              <w:bidi w:val="0"/>
              <w:spacing w:line="399" w:lineRule="auto"/>
              <w:ind w:firstLine="420" w:firstLineChars="200"/>
              <w:textAlignment w:val="auto"/>
              <w:rPr>
                <w:rFonts w:hint="eastAsia"/>
                <w:b w:val="0"/>
                <w:bCs w:val="0"/>
                <w:highlight w:val="none"/>
                <w:lang w:eastAsia="zh-CN"/>
              </w:rPr>
            </w:pPr>
            <w:r>
              <w:rPr>
                <w:rFonts w:hint="eastAsia"/>
                <w:b w:val="0"/>
                <w:bCs w:val="0"/>
                <w:highlight w:val="none"/>
                <w:lang w:eastAsia="zh-CN"/>
              </w:rPr>
              <w:t xml:space="preserve">供应商提供适用于辅助在线学习所需的电子书、期刊、学术视频、文档资料等教学资源。且供应商及相关联企业无诉讼版权争议。 </w:t>
            </w:r>
          </w:p>
          <w:p w14:paraId="5E79C726">
            <w:pPr>
              <w:keepNext w:val="0"/>
              <w:keepLines w:val="0"/>
              <w:pageBreakBefore w:val="0"/>
              <w:widowControl w:val="0"/>
              <w:kinsoku/>
              <w:wordWrap/>
              <w:overflowPunct/>
              <w:topLinePunct w:val="0"/>
              <w:autoSpaceDE/>
              <w:autoSpaceDN/>
              <w:bidi w:val="0"/>
              <w:spacing w:line="399" w:lineRule="auto"/>
              <w:textAlignment w:val="auto"/>
              <w:rPr>
                <w:rFonts w:hint="eastAsia"/>
                <w:b w:val="0"/>
                <w:bCs w:val="0"/>
                <w:highlight w:val="none"/>
                <w:lang w:eastAsia="zh-CN"/>
              </w:rPr>
            </w:pPr>
            <w:r>
              <w:rPr>
                <w:rFonts w:hint="eastAsia"/>
                <w:b w:val="0"/>
                <w:bCs w:val="0"/>
                <w:highlight w:val="none"/>
                <w:lang w:val="en-US" w:eastAsia="zh-CN"/>
              </w:rPr>
              <w:t>1.</w:t>
            </w:r>
            <w:r>
              <w:rPr>
                <w:rFonts w:hint="eastAsia"/>
                <w:b w:val="0"/>
                <w:bCs w:val="0"/>
                <w:highlight w:val="none"/>
                <w:lang w:eastAsia="zh-CN"/>
              </w:rPr>
              <w:t>供应商</w:t>
            </w:r>
            <w:r>
              <w:rPr>
                <w:rFonts w:hint="eastAsia" w:ascii="Times New Roman" w:hAnsi="Times New Roman" w:eastAsia="宋体" w:cs="Times New Roman"/>
                <w:b w:val="0"/>
                <w:bCs w:val="0"/>
                <w:highlight w:val="none"/>
                <w:lang w:eastAsia="zh-CN"/>
              </w:rPr>
              <w:t>具有</w:t>
            </w:r>
            <w:r>
              <w:rPr>
                <w:rFonts w:hint="eastAsia" w:ascii="Times New Roman" w:hAnsi="Times New Roman" w:eastAsia="宋体" w:cs="Times New Roman"/>
                <w:b w:val="0"/>
                <w:bCs w:val="0"/>
                <w:highlight w:val="none"/>
                <w:lang w:val="en-US" w:eastAsia="zh-CN"/>
              </w:rPr>
              <w:t>20</w:t>
            </w:r>
            <w:r>
              <w:rPr>
                <w:rFonts w:hint="eastAsia" w:ascii="Times New Roman" w:hAnsi="Times New Roman" w:eastAsia="宋体" w:cs="Times New Roman"/>
                <w:b w:val="0"/>
                <w:bCs w:val="0"/>
                <w:highlight w:val="none"/>
                <w:lang w:eastAsia="zh-CN"/>
              </w:rPr>
              <w:t>家出版社出具的图书直接授权书或协议书的得10分，每少提供一份扣2分，扣完为止</w:t>
            </w:r>
            <w:r>
              <w:rPr>
                <w:rFonts w:hint="eastAsia"/>
                <w:b w:val="0"/>
                <w:bCs w:val="0"/>
                <w:highlight w:val="none"/>
                <w:lang w:eastAsia="zh-CN"/>
              </w:rPr>
              <w:t xml:space="preserve">； </w:t>
            </w:r>
          </w:p>
          <w:p w14:paraId="7AEC277F">
            <w:pPr>
              <w:keepNext w:val="0"/>
              <w:keepLines w:val="0"/>
              <w:pageBreakBefore w:val="0"/>
              <w:widowControl w:val="0"/>
              <w:kinsoku/>
              <w:wordWrap/>
              <w:overflowPunct/>
              <w:topLinePunct w:val="0"/>
              <w:autoSpaceDE/>
              <w:autoSpaceDN/>
              <w:bidi w:val="0"/>
              <w:spacing w:line="399" w:lineRule="auto"/>
              <w:textAlignment w:val="auto"/>
              <w:rPr>
                <w:rFonts w:hint="eastAsia" w:ascii="Times New Roman" w:hAnsi="Times New Roman" w:eastAsia="宋体" w:cs="Times New Roman"/>
                <w:b w:val="0"/>
                <w:bCs w:val="0"/>
                <w:highlight w:val="none"/>
                <w:lang w:val="en-US" w:eastAsia="zh-CN"/>
              </w:rPr>
            </w:pPr>
            <w:r>
              <w:rPr>
                <w:rFonts w:hint="eastAsia"/>
                <w:b w:val="0"/>
                <w:bCs w:val="0"/>
                <w:highlight w:val="none"/>
                <w:lang w:val="en-US" w:eastAsia="zh-CN"/>
              </w:rPr>
              <w:t>2.供应商</w:t>
            </w:r>
            <w:r>
              <w:rPr>
                <w:rFonts w:hint="eastAsia"/>
                <w:b w:val="0"/>
                <w:bCs w:val="0"/>
                <w:highlight w:val="none"/>
                <w:lang w:eastAsia="zh-CN"/>
              </w:rPr>
              <w:t>具有20家出版社出具的电子期刊版权直接授权书或协议书的得10分，每少</w:t>
            </w:r>
            <w:r>
              <w:rPr>
                <w:rFonts w:hint="eastAsia" w:ascii="Times New Roman" w:hAnsi="Times New Roman" w:eastAsia="宋体" w:cs="Times New Roman"/>
                <w:b w:val="0"/>
                <w:bCs w:val="0"/>
                <w:highlight w:val="none"/>
                <w:lang w:val="en-US" w:eastAsia="zh-CN"/>
              </w:rPr>
              <w:t>提供一份扣2分，扣完为止；</w:t>
            </w:r>
          </w:p>
          <w:p w14:paraId="22B3ACFB">
            <w:pPr>
              <w:keepNext w:val="0"/>
              <w:keepLines w:val="0"/>
              <w:pageBreakBefore w:val="0"/>
              <w:widowControl w:val="0"/>
              <w:kinsoku/>
              <w:wordWrap/>
              <w:overflowPunct/>
              <w:topLinePunct w:val="0"/>
              <w:autoSpaceDE/>
              <w:autoSpaceDN/>
              <w:bidi w:val="0"/>
              <w:spacing w:line="399" w:lineRule="auto"/>
              <w:textAlignment w:val="auto"/>
              <w:rPr>
                <w:rFonts w:hint="eastAsia"/>
                <w:lang w:eastAsia="zh-CN"/>
              </w:rPr>
            </w:pPr>
            <w:r>
              <w:rPr>
                <w:rFonts w:hint="eastAsia" w:ascii="Times New Roman" w:hAnsi="Times New Roman" w:eastAsia="宋体" w:cs="Times New Roman"/>
                <w:b/>
                <w:bCs/>
                <w:highlight w:val="none"/>
                <w:lang w:val="en-US" w:eastAsia="zh-CN"/>
              </w:rPr>
              <w:t>注：响应文件中须提供上述授权书或协议书扫描件或影印件，未提供不得分。</w:t>
            </w:r>
          </w:p>
        </w:tc>
      </w:tr>
      <w:tr w14:paraId="6D0C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0" w:hRule="atLeast"/>
          <w:jc w:val="center"/>
        </w:trPr>
        <w:tc>
          <w:tcPr>
            <w:tcW w:w="2179" w:type="dxa"/>
            <w:vAlign w:val="center"/>
          </w:tcPr>
          <w:p w14:paraId="14332D0B">
            <w:pPr>
              <w:keepNext w:val="0"/>
              <w:keepLines w:val="0"/>
              <w:pageBreakBefore w:val="0"/>
              <w:widowControl w:val="0"/>
              <w:kinsoku/>
              <w:wordWrap/>
              <w:overflowPunct/>
              <w:topLinePunct w:val="0"/>
              <w:autoSpaceDE/>
              <w:autoSpaceDN/>
              <w:bidi w:val="0"/>
              <w:spacing w:line="399" w:lineRule="auto"/>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 xml:space="preserve">系统平台功能及视频样片演示         </w:t>
            </w:r>
            <w:r>
              <w:rPr>
                <w:rFonts w:hint="eastAsia" w:ascii="宋体" w:hAnsi="宋体" w:cs="宋体"/>
                <w:sz w:val="21"/>
                <w:szCs w:val="21"/>
                <w:lang w:eastAsia="zh-CN"/>
              </w:rPr>
              <w:t>（满分</w:t>
            </w:r>
            <w:r>
              <w:rPr>
                <w:rFonts w:hint="eastAsia" w:ascii="宋体" w:hAnsi="宋体" w:cs="宋体"/>
                <w:sz w:val="21"/>
                <w:szCs w:val="21"/>
                <w:lang w:val="en-US" w:eastAsia="zh-CN"/>
              </w:rPr>
              <w:t>16分</w:t>
            </w:r>
            <w:r>
              <w:rPr>
                <w:rFonts w:hint="eastAsia" w:ascii="宋体" w:hAnsi="宋体" w:cs="宋体"/>
                <w:sz w:val="21"/>
                <w:szCs w:val="21"/>
                <w:lang w:eastAsia="zh-CN"/>
              </w:rPr>
              <w:t>）</w:t>
            </w:r>
          </w:p>
        </w:tc>
        <w:tc>
          <w:tcPr>
            <w:tcW w:w="7739" w:type="dxa"/>
            <w:gridSpan w:val="2"/>
            <w:vAlign w:val="center"/>
          </w:tcPr>
          <w:p w14:paraId="75F10884">
            <w:pPr>
              <w:keepNext w:val="0"/>
              <w:keepLines w:val="0"/>
              <w:pageBreakBefore w:val="0"/>
              <w:widowControl w:val="0"/>
              <w:kinsoku/>
              <w:wordWrap/>
              <w:overflowPunct/>
              <w:topLinePunct w:val="0"/>
              <w:autoSpaceDE/>
              <w:autoSpaceDN/>
              <w:bidi w:val="0"/>
              <w:adjustRightInd/>
              <w:snapToGrid/>
              <w:spacing w:before="91" w:line="360" w:lineRule="auto"/>
              <w:ind w:right="73" w:firstLine="420" w:firstLineChars="200"/>
              <w:jc w:val="both"/>
              <w:textAlignment w:val="auto"/>
              <w:rPr>
                <w:rFonts w:hint="eastAsia" w:ascii="宋体" w:hAnsi="宋体" w:eastAsia="宋体" w:cs="宋体"/>
                <w:kern w:val="2"/>
                <w:sz w:val="21"/>
                <w:szCs w:val="21"/>
                <w:lang w:val="en-US" w:eastAsia="zh-CN" w:bidi="zh-CN"/>
              </w:rPr>
            </w:pPr>
            <w:r>
              <w:rPr>
                <w:rFonts w:hint="eastAsia" w:ascii="宋体" w:hAnsi="宋体" w:eastAsia="宋体" w:cs="宋体"/>
                <w:kern w:val="2"/>
                <w:sz w:val="21"/>
                <w:szCs w:val="21"/>
                <w:lang w:val="en-US" w:eastAsia="zh-CN" w:bidi="zh-CN"/>
              </w:rPr>
              <w:t>1.老师可以设置不同考核模块（视频、图文、直播、讨论、作业、考试等）的成绩比例，支持学习内容单位级别的考核占比设置，如每个视频、讨论都可独立设置分数不同权重占比。</w:t>
            </w:r>
          </w:p>
          <w:p w14:paraId="5FF0119E">
            <w:pPr>
              <w:keepNext w:val="0"/>
              <w:keepLines w:val="0"/>
              <w:pageBreakBefore w:val="0"/>
              <w:widowControl w:val="0"/>
              <w:kinsoku/>
              <w:wordWrap/>
              <w:overflowPunct/>
              <w:topLinePunct w:val="0"/>
              <w:autoSpaceDE/>
              <w:autoSpaceDN/>
              <w:bidi w:val="0"/>
              <w:adjustRightInd/>
              <w:snapToGrid/>
              <w:spacing w:before="91" w:line="360" w:lineRule="auto"/>
              <w:ind w:right="73" w:firstLine="420" w:firstLineChars="200"/>
              <w:jc w:val="both"/>
              <w:textAlignment w:val="auto"/>
              <w:rPr>
                <w:rFonts w:hint="eastAsia" w:ascii="宋体" w:hAnsi="宋体" w:eastAsia="宋体" w:cs="宋体"/>
                <w:kern w:val="2"/>
                <w:sz w:val="21"/>
                <w:szCs w:val="21"/>
                <w:lang w:val="en-US" w:eastAsia="zh-CN" w:bidi="zh-CN"/>
              </w:rPr>
            </w:pPr>
            <w:r>
              <w:rPr>
                <w:rFonts w:hint="eastAsia" w:ascii="宋体" w:hAnsi="宋体" w:eastAsia="宋体" w:cs="宋体"/>
                <w:kern w:val="2"/>
                <w:sz w:val="21"/>
                <w:szCs w:val="21"/>
                <w:lang w:val="en-US" w:eastAsia="zh-CN" w:bidi="zh-CN"/>
              </w:rPr>
              <w:t>2.移动端可基于课程形成师生互动交流群、实时视频交流，实时进行即时通讯，实时视频及直播互动、进行讨论与交流，同时可把直播设置为学习的任务点。</w:t>
            </w:r>
          </w:p>
          <w:p w14:paraId="00738394">
            <w:pPr>
              <w:keepNext w:val="0"/>
              <w:keepLines w:val="0"/>
              <w:pageBreakBefore w:val="0"/>
              <w:widowControl w:val="0"/>
              <w:kinsoku/>
              <w:wordWrap/>
              <w:overflowPunct/>
              <w:topLinePunct w:val="0"/>
              <w:autoSpaceDE/>
              <w:autoSpaceDN/>
              <w:bidi w:val="0"/>
              <w:adjustRightInd/>
              <w:snapToGrid/>
              <w:spacing w:before="91" w:line="360" w:lineRule="auto"/>
              <w:ind w:right="73" w:firstLine="420" w:firstLineChars="200"/>
              <w:jc w:val="both"/>
              <w:textAlignment w:val="auto"/>
              <w:rPr>
                <w:rFonts w:hint="eastAsia" w:ascii="宋体" w:hAnsi="宋体" w:eastAsia="宋体" w:cs="宋体"/>
                <w:kern w:val="2"/>
                <w:sz w:val="21"/>
                <w:szCs w:val="21"/>
                <w:lang w:val="en-US" w:eastAsia="zh-CN" w:bidi="zh-CN"/>
              </w:rPr>
            </w:pPr>
            <w:r>
              <w:rPr>
                <w:rFonts w:hint="eastAsia" w:ascii="宋体" w:hAnsi="宋体" w:eastAsia="宋体" w:cs="宋体"/>
                <w:kern w:val="2"/>
                <w:sz w:val="21"/>
                <w:szCs w:val="21"/>
                <w:lang w:val="en-US" w:eastAsia="zh-CN" w:bidi="zh-CN"/>
              </w:rPr>
              <w:t>3.课堂中支持PPT课件、板书、直播音视频等教学内容实时同步到学生学习终端，支持课堂中临时添加或修改课件。</w:t>
            </w:r>
          </w:p>
          <w:p w14:paraId="53FB7143">
            <w:pPr>
              <w:keepNext w:val="0"/>
              <w:keepLines w:val="0"/>
              <w:pageBreakBefore w:val="0"/>
              <w:widowControl w:val="0"/>
              <w:kinsoku/>
              <w:wordWrap/>
              <w:overflowPunct/>
              <w:topLinePunct w:val="0"/>
              <w:autoSpaceDE/>
              <w:autoSpaceDN/>
              <w:bidi w:val="0"/>
              <w:adjustRightInd/>
              <w:snapToGrid/>
              <w:spacing w:before="91" w:line="360" w:lineRule="auto"/>
              <w:ind w:right="73" w:firstLine="420" w:firstLineChars="200"/>
              <w:jc w:val="both"/>
              <w:textAlignment w:val="auto"/>
              <w:rPr>
                <w:rFonts w:hint="eastAsia" w:ascii="宋体" w:hAnsi="宋体" w:eastAsia="宋体" w:cs="宋体"/>
                <w:kern w:val="2"/>
                <w:sz w:val="21"/>
                <w:szCs w:val="21"/>
                <w:lang w:val="en-US" w:eastAsia="zh-CN" w:bidi="zh-CN"/>
              </w:rPr>
            </w:pPr>
            <w:r>
              <w:rPr>
                <w:rFonts w:hint="eastAsia" w:ascii="宋体" w:hAnsi="宋体" w:eastAsia="宋体" w:cs="宋体"/>
                <w:kern w:val="2"/>
                <w:sz w:val="21"/>
                <w:szCs w:val="21"/>
                <w:lang w:val="en-US" w:eastAsia="zh-CN" w:bidi="zh-CN"/>
              </w:rPr>
              <w:t>4.教师通过备课系统建课过程中，可以添加知识点拓展阅读，可以根据一个关键词自动生成相关知识点的知识树，插入到课程单元中，并自动推送知识点相关的图书、期刊、论文等资料。</w:t>
            </w:r>
          </w:p>
          <w:p w14:paraId="3F476BFD">
            <w:pPr>
              <w:keepNext w:val="0"/>
              <w:keepLines w:val="0"/>
              <w:pageBreakBefore w:val="0"/>
              <w:widowControl w:val="0"/>
              <w:kinsoku/>
              <w:wordWrap/>
              <w:overflowPunct/>
              <w:topLinePunct w:val="0"/>
              <w:autoSpaceDE/>
              <w:autoSpaceDN/>
              <w:bidi w:val="0"/>
              <w:adjustRightInd/>
              <w:snapToGrid/>
              <w:spacing w:before="91" w:line="360" w:lineRule="auto"/>
              <w:ind w:right="73" w:firstLine="420" w:firstLineChars="200"/>
              <w:jc w:val="both"/>
              <w:textAlignment w:val="auto"/>
              <w:rPr>
                <w:rFonts w:hint="eastAsia" w:ascii="宋体" w:hAnsi="宋体" w:eastAsia="宋体" w:cs="宋体"/>
                <w:kern w:val="2"/>
                <w:sz w:val="21"/>
                <w:szCs w:val="21"/>
                <w:lang w:val="en-US" w:eastAsia="zh-CN" w:bidi="zh-CN"/>
              </w:rPr>
            </w:pPr>
            <w:r>
              <w:rPr>
                <w:rFonts w:hint="eastAsia" w:ascii="宋体" w:hAnsi="宋体" w:eastAsia="宋体" w:cs="宋体"/>
                <w:kern w:val="2"/>
                <w:sz w:val="21"/>
                <w:szCs w:val="21"/>
                <w:lang w:val="en-US" w:eastAsia="zh-CN" w:bidi="zh-CN"/>
              </w:rPr>
              <w:t>5.在线监考：监考教师需实时查看每位考生是否进入考试、进入时间、当前状态、IP地址、所在地区、人脸识别情况、违规次数、切屏次数等，每页至少显示20位考生画面。对考生切出页面的次数与时长进行记录，达到设定值时可强制收卷。</w:t>
            </w:r>
          </w:p>
          <w:p w14:paraId="1E119CCC">
            <w:pPr>
              <w:keepNext w:val="0"/>
              <w:keepLines w:val="0"/>
              <w:pageBreakBefore w:val="0"/>
              <w:widowControl w:val="0"/>
              <w:kinsoku/>
              <w:wordWrap/>
              <w:overflowPunct/>
              <w:topLinePunct w:val="0"/>
              <w:autoSpaceDE/>
              <w:autoSpaceDN/>
              <w:bidi w:val="0"/>
              <w:adjustRightInd/>
              <w:snapToGrid/>
              <w:spacing w:before="91" w:line="360" w:lineRule="auto"/>
              <w:ind w:right="73" w:firstLine="420" w:firstLineChars="200"/>
              <w:jc w:val="both"/>
              <w:textAlignment w:val="auto"/>
              <w:rPr>
                <w:rFonts w:hint="eastAsia" w:ascii="宋体" w:hAnsi="宋体" w:eastAsia="宋体" w:cs="宋体"/>
                <w:kern w:val="2"/>
                <w:sz w:val="21"/>
                <w:szCs w:val="21"/>
                <w:lang w:val="en-US" w:eastAsia="zh-CN" w:bidi="zh-CN"/>
              </w:rPr>
            </w:pPr>
            <w:r>
              <w:rPr>
                <w:rFonts w:hint="eastAsia" w:ascii="宋体" w:hAnsi="宋体" w:eastAsia="宋体" w:cs="宋体"/>
                <w:kern w:val="2"/>
                <w:sz w:val="21"/>
                <w:szCs w:val="21"/>
                <w:lang w:val="en-US" w:eastAsia="zh-CN" w:bidi="zh-CN"/>
              </w:rPr>
              <w:t>6.教师通过备课系统建课过程中，支持在备课系统剪辑视频和在视频任意时间点插入测试题，包含单选题、多选题和对错题。</w:t>
            </w:r>
          </w:p>
          <w:p w14:paraId="05E6646F">
            <w:pPr>
              <w:keepNext w:val="0"/>
              <w:keepLines w:val="0"/>
              <w:pageBreakBefore w:val="0"/>
              <w:widowControl w:val="0"/>
              <w:kinsoku/>
              <w:wordWrap/>
              <w:overflowPunct/>
              <w:topLinePunct w:val="0"/>
              <w:autoSpaceDE/>
              <w:autoSpaceDN/>
              <w:bidi w:val="0"/>
              <w:adjustRightInd/>
              <w:snapToGrid/>
              <w:spacing w:before="91" w:line="360" w:lineRule="auto"/>
              <w:ind w:right="73" w:firstLine="420" w:firstLineChars="200"/>
              <w:jc w:val="both"/>
              <w:textAlignment w:val="auto"/>
              <w:rPr>
                <w:rFonts w:hint="eastAsia" w:ascii="宋体" w:hAnsi="宋体" w:eastAsia="宋体" w:cs="宋体"/>
                <w:kern w:val="2"/>
                <w:sz w:val="21"/>
                <w:szCs w:val="21"/>
                <w:lang w:val="en-US" w:eastAsia="zh-CN" w:bidi="zh-CN"/>
              </w:rPr>
            </w:pPr>
            <w:r>
              <w:rPr>
                <w:rFonts w:hint="eastAsia" w:ascii="宋体" w:hAnsi="宋体" w:eastAsia="宋体" w:cs="宋体"/>
                <w:kern w:val="2"/>
                <w:sz w:val="21"/>
                <w:szCs w:val="21"/>
                <w:lang w:val="en-US" w:eastAsia="zh-CN" w:bidi="zh-CN"/>
              </w:rPr>
              <w:t>7.平台课查看考试预告通知</w:t>
            </w:r>
            <w:r>
              <w:rPr>
                <w:rFonts w:hint="eastAsia" w:ascii="宋体" w:hAnsi="宋体" w:cs="宋体"/>
                <w:kern w:val="2"/>
                <w:sz w:val="21"/>
                <w:szCs w:val="21"/>
                <w:lang w:val="en-US" w:eastAsia="zh-CN" w:bidi="zh-CN"/>
              </w:rPr>
              <w:t>。</w:t>
            </w:r>
          </w:p>
          <w:p w14:paraId="4F37F6E7">
            <w:pPr>
              <w:keepNext w:val="0"/>
              <w:keepLines w:val="0"/>
              <w:pageBreakBefore w:val="0"/>
              <w:widowControl w:val="0"/>
              <w:kinsoku/>
              <w:wordWrap/>
              <w:overflowPunct/>
              <w:topLinePunct w:val="0"/>
              <w:autoSpaceDE/>
              <w:autoSpaceDN/>
              <w:bidi w:val="0"/>
              <w:adjustRightInd/>
              <w:snapToGrid/>
              <w:spacing w:before="91" w:line="360" w:lineRule="auto"/>
              <w:ind w:right="73" w:firstLine="420" w:firstLineChars="200"/>
              <w:jc w:val="both"/>
              <w:textAlignment w:val="auto"/>
              <w:rPr>
                <w:rFonts w:hint="eastAsia"/>
                <w:lang w:val="en-US" w:eastAsia="zh-CN"/>
              </w:rPr>
            </w:pPr>
            <w:r>
              <w:rPr>
                <w:rFonts w:hint="eastAsia" w:ascii="宋体" w:hAnsi="宋体" w:eastAsia="宋体" w:cs="宋体"/>
                <w:kern w:val="2"/>
                <w:sz w:val="21"/>
                <w:szCs w:val="21"/>
                <w:lang w:val="en-US" w:eastAsia="zh-CN" w:bidi="zh-CN"/>
              </w:rPr>
              <w:t>8.作业查重功能，教师在作业批阅页面可以通过查重功能对学生提交的作业进行查重</w:t>
            </w:r>
            <w:r>
              <w:rPr>
                <w:rFonts w:hint="eastAsia" w:ascii="宋体" w:hAnsi="宋体" w:cs="宋体"/>
                <w:kern w:val="2"/>
                <w:sz w:val="21"/>
                <w:szCs w:val="21"/>
                <w:lang w:val="en-US" w:eastAsia="zh-CN" w:bidi="zh-CN"/>
              </w:rPr>
              <w:t>。</w:t>
            </w:r>
          </w:p>
          <w:p w14:paraId="44ABDD1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highlight w:val="none"/>
              </w:rPr>
            </w:pPr>
            <w:r>
              <w:rPr>
                <w:rFonts w:hint="eastAsia"/>
                <w:b/>
                <w:bCs/>
                <w:highlight w:val="none"/>
                <w:lang w:eastAsia="zh-CN"/>
              </w:rPr>
              <w:t>注：</w:t>
            </w:r>
            <w:r>
              <w:rPr>
                <w:rFonts w:hint="eastAsia" w:ascii="宋体" w:hAnsi="宋体" w:eastAsia="宋体" w:cs="宋体"/>
                <w:b/>
                <w:bCs/>
                <w:sz w:val="21"/>
                <w:szCs w:val="21"/>
                <w:highlight w:val="none"/>
              </w:rPr>
              <w:t>需对</w:t>
            </w:r>
            <w:r>
              <w:rPr>
                <w:rFonts w:hint="eastAsia" w:ascii="宋体" w:hAnsi="宋体" w:eastAsia="宋体" w:cs="宋体"/>
                <w:b/>
                <w:bCs/>
                <w:sz w:val="21"/>
                <w:szCs w:val="21"/>
                <w:highlight w:val="none"/>
                <w:lang w:eastAsia="zh-CN"/>
              </w:rPr>
              <w:t>上述要求内容</w:t>
            </w:r>
            <w:r>
              <w:rPr>
                <w:rFonts w:hint="eastAsia" w:ascii="宋体" w:hAnsi="宋体" w:eastAsia="宋体" w:cs="宋体"/>
                <w:b/>
                <w:bCs/>
                <w:sz w:val="21"/>
                <w:szCs w:val="21"/>
                <w:highlight w:val="none"/>
              </w:rPr>
              <w:t>进行</w:t>
            </w:r>
            <w:r>
              <w:rPr>
                <w:rFonts w:hint="eastAsia" w:ascii="宋体" w:hAnsi="宋体" w:eastAsia="宋体" w:cs="宋体"/>
                <w:b/>
                <w:bCs/>
                <w:sz w:val="21"/>
                <w:szCs w:val="21"/>
                <w:highlight w:val="none"/>
                <w:lang w:eastAsia="zh-CN"/>
              </w:rPr>
              <w:t>分项</w:t>
            </w:r>
            <w:r>
              <w:rPr>
                <w:rFonts w:hint="eastAsia" w:ascii="宋体" w:hAnsi="宋体" w:eastAsia="宋体" w:cs="宋体"/>
                <w:b/>
                <w:bCs/>
                <w:sz w:val="21"/>
                <w:szCs w:val="21"/>
                <w:highlight w:val="none"/>
              </w:rPr>
              <w:t>演示，每演示成功一项得</w:t>
            </w:r>
            <w:r>
              <w:rPr>
                <w:rFonts w:hint="eastAsia" w:ascii="宋体" w:hAnsi="宋体" w:eastAsia="宋体" w:cs="宋体"/>
                <w:b/>
                <w:bCs/>
                <w:sz w:val="21"/>
                <w:szCs w:val="21"/>
                <w:highlight w:val="none"/>
                <w:lang w:val="en-US" w:eastAsia="zh-CN"/>
              </w:rPr>
              <w:t>2</w:t>
            </w:r>
            <w:r>
              <w:rPr>
                <w:rFonts w:hint="eastAsia" w:ascii="宋体" w:hAnsi="宋体" w:eastAsia="宋体" w:cs="宋体"/>
                <w:b/>
                <w:bCs/>
                <w:sz w:val="21"/>
                <w:szCs w:val="21"/>
                <w:highlight w:val="none"/>
              </w:rPr>
              <w:t>分，演示不成功或</w:t>
            </w:r>
            <w:r>
              <w:rPr>
                <w:rFonts w:hint="eastAsia" w:ascii="宋体" w:hAnsi="宋体" w:cs="宋体"/>
                <w:b/>
                <w:bCs/>
                <w:sz w:val="21"/>
                <w:szCs w:val="21"/>
                <w:highlight w:val="none"/>
                <w:lang w:eastAsia="zh-CN"/>
              </w:rPr>
              <w:t>未提供</w:t>
            </w:r>
            <w:r>
              <w:rPr>
                <w:rFonts w:hint="eastAsia" w:ascii="宋体" w:hAnsi="宋体" w:eastAsia="宋体" w:cs="宋体"/>
                <w:b/>
                <w:bCs/>
                <w:sz w:val="21"/>
                <w:szCs w:val="21"/>
                <w:highlight w:val="none"/>
              </w:rPr>
              <w:t>演示不得分</w:t>
            </w:r>
            <w:r>
              <w:rPr>
                <w:rFonts w:hint="eastAsia" w:ascii="宋体" w:hAnsi="宋体" w:cs="宋体"/>
                <w:b/>
                <w:bCs/>
                <w:sz w:val="21"/>
                <w:szCs w:val="21"/>
                <w:highlight w:val="none"/>
                <w:lang w:eastAsia="zh-CN"/>
              </w:rPr>
              <w:t>，本项满分</w:t>
            </w:r>
            <w:r>
              <w:rPr>
                <w:rFonts w:hint="eastAsia" w:ascii="宋体" w:hAnsi="宋体" w:cs="宋体"/>
                <w:b/>
                <w:bCs/>
                <w:sz w:val="21"/>
                <w:szCs w:val="21"/>
                <w:highlight w:val="none"/>
                <w:lang w:val="en-US" w:eastAsia="zh-CN"/>
              </w:rPr>
              <w:t>16分</w:t>
            </w:r>
            <w:r>
              <w:rPr>
                <w:rFonts w:hint="eastAsia" w:ascii="宋体" w:hAnsi="宋体" w:eastAsia="宋体" w:cs="宋体"/>
                <w:b/>
                <w:bCs/>
                <w:sz w:val="21"/>
                <w:szCs w:val="21"/>
                <w:highlight w:val="none"/>
              </w:rPr>
              <w:t>。</w:t>
            </w:r>
          </w:p>
          <w:p w14:paraId="495F61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highlight w:val="none"/>
                <w:lang w:val="en-US" w:eastAsia="zh-CN"/>
              </w:rPr>
            </w:pPr>
            <w:r>
              <w:rPr>
                <w:rFonts w:hint="eastAsia"/>
                <w:b/>
                <w:bCs/>
                <w:highlight w:val="none"/>
                <w:lang w:val="en-US" w:eastAsia="zh-CN"/>
              </w:rPr>
              <w:t>一、演示汇报格式</w:t>
            </w:r>
          </w:p>
          <w:p w14:paraId="37E2E88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1.不得超过10分钟的功能演示视频（须为自带解说的多媒体形式，视频格式建议采用下列格式：AVI、RMVB、MP4，视频大小不得超过2GB。）； </w:t>
            </w:r>
          </w:p>
          <w:p w14:paraId="74CEEEF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2.功能演示视频由供应商在线上制作投标文件时，将演示视频</w:t>
            </w:r>
            <w:r>
              <w:rPr>
                <w:rFonts w:hint="eastAsia" w:ascii="宋体" w:hAnsi="宋体" w:eastAsia="宋体" w:cs="宋体"/>
                <w:b/>
                <w:bCs/>
                <w:sz w:val="21"/>
                <w:szCs w:val="21"/>
                <w:highlight w:val="none"/>
                <w:lang w:val="en-US" w:eastAsia="zh-CN"/>
              </w:rPr>
              <w:t>上传至投标文件附件中</w:t>
            </w:r>
            <w:r>
              <w:rPr>
                <w:rFonts w:hint="eastAsia" w:ascii="宋体" w:hAnsi="宋体" w:eastAsia="宋体" w:cs="宋体"/>
                <w:b w:val="0"/>
                <w:bCs w:val="0"/>
                <w:sz w:val="21"/>
                <w:szCs w:val="21"/>
                <w:highlight w:val="none"/>
                <w:lang w:val="en-US" w:eastAsia="zh-CN"/>
              </w:rPr>
              <w:t xml:space="preserve">。 </w:t>
            </w:r>
          </w:p>
          <w:p w14:paraId="3842BB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 xml:space="preserve">二、材料递交 </w:t>
            </w:r>
          </w:p>
          <w:p w14:paraId="16B8B502">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1.本项目的功能演示视频须在投标截止时间前随投标文件一起上传至平台。 </w:t>
            </w:r>
          </w:p>
          <w:p w14:paraId="627D30B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b/>
                <w:bCs/>
                <w:sz w:val="21"/>
                <w:szCs w:val="21"/>
                <w:highlight w:val="none"/>
              </w:rPr>
            </w:pPr>
            <w:r>
              <w:rPr>
                <w:rFonts w:hint="eastAsia" w:ascii="宋体" w:hAnsi="宋体" w:eastAsia="宋体" w:cs="宋体"/>
                <w:b w:val="0"/>
                <w:bCs w:val="0"/>
                <w:sz w:val="21"/>
                <w:szCs w:val="21"/>
                <w:highlight w:val="none"/>
                <w:lang w:val="en-US" w:eastAsia="zh-CN"/>
              </w:rPr>
              <w:t>2.本项目功能演示视频材料若未提交，则该项功能演示评分项得分为0分。</w:t>
            </w:r>
            <w:r>
              <w:rPr>
                <w:rFonts w:hint="eastAsia" w:ascii="宋体" w:hAnsi="宋体" w:eastAsia="宋体" w:cs="宋体"/>
                <w:b/>
                <w:bCs/>
                <w:sz w:val="21"/>
                <w:szCs w:val="21"/>
                <w:highlight w:val="none"/>
                <w:lang w:val="en-US" w:eastAsia="zh-CN"/>
              </w:rPr>
              <w:t xml:space="preserve"> </w:t>
            </w:r>
          </w:p>
          <w:p w14:paraId="5D4EB6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 xml:space="preserve">三、其他 </w:t>
            </w:r>
          </w:p>
          <w:p w14:paraId="46CCA6C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 xml:space="preserve">所上传的功能演示视频材料若是在无法播放或是无法读取，由此造成的相关风险由供应商自行承担，且该项不得分。 </w:t>
            </w:r>
          </w:p>
          <w:p w14:paraId="3A64CE44">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b/>
                <w:bCs/>
                <w:highlight w:val="none"/>
                <w:lang w:eastAsia="zh-CN"/>
              </w:rPr>
            </w:pPr>
            <w:r>
              <w:rPr>
                <w:rFonts w:hint="eastAsia" w:ascii="宋体" w:hAnsi="宋体" w:eastAsia="宋体" w:cs="宋体"/>
                <w:b w:val="0"/>
                <w:bCs w:val="0"/>
                <w:sz w:val="21"/>
                <w:szCs w:val="21"/>
                <w:highlight w:val="none"/>
                <w:lang w:val="en-US" w:eastAsia="zh-CN"/>
              </w:rPr>
              <w:t>2</w:t>
            </w:r>
            <w:r>
              <w:rPr>
                <w:rFonts w:hint="eastAsia" w:ascii="宋体" w:hAnsi="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 xml:space="preserve">功能演示视频材料必须是供应商在投标截止时间前由平台上传的演示材料。 </w:t>
            </w:r>
          </w:p>
        </w:tc>
      </w:tr>
      <w:tr w14:paraId="11B8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1" w:hRule="atLeast"/>
          <w:jc w:val="center"/>
        </w:trPr>
        <w:tc>
          <w:tcPr>
            <w:tcW w:w="2179" w:type="dxa"/>
            <w:vAlign w:val="center"/>
          </w:tcPr>
          <w:p w14:paraId="3F19CD8F">
            <w:pPr>
              <w:keepNext w:val="0"/>
              <w:keepLines w:val="0"/>
              <w:pageBreakBefore w:val="0"/>
              <w:widowControl w:val="0"/>
              <w:kinsoku/>
              <w:wordWrap/>
              <w:overflowPunct/>
              <w:topLinePunct w:val="0"/>
              <w:autoSpaceDE/>
              <w:autoSpaceDN/>
              <w:bidi w:val="0"/>
              <w:adjustRightInd w:val="0"/>
              <w:snapToGrid w:val="0"/>
              <w:spacing w:line="360" w:lineRule="auto"/>
              <w:ind w:left="-35" w:right="-38"/>
              <w:jc w:val="center"/>
              <w:textAlignment w:val="auto"/>
              <w:rPr>
                <w:rFonts w:hint="eastAsia" w:ascii="宋体" w:hAnsi="宋体" w:eastAsia="宋体" w:cs="宋体"/>
                <w:szCs w:val="21"/>
                <w:highlight w:val="none"/>
                <w:lang w:eastAsia="zh-CN"/>
              </w:rPr>
            </w:pPr>
            <w:r>
              <w:rPr>
                <w:rFonts w:hint="eastAsia" w:ascii="宋体" w:hAnsi="宋体" w:cs="宋体"/>
                <w:szCs w:val="21"/>
                <w:highlight w:val="none"/>
                <w:lang w:val="en-US" w:eastAsia="zh-CN"/>
              </w:rPr>
              <w:t xml:space="preserve">服务方案及承诺              </w:t>
            </w:r>
            <w:r>
              <w:rPr>
                <w:rFonts w:hint="eastAsia" w:ascii="宋体" w:hAnsi="宋体" w:cs="宋体"/>
                <w:szCs w:val="21"/>
                <w:highlight w:val="none"/>
                <w:lang w:eastAsia="zh-CN"/>
              </w:rPr>
              <w:t>（</w:t>
            </w:r>
            <w:r>
              <w:rPr>
                <w:rFonts w:hint="eastAsia" w:ascii="宋体" w:hAnsi="宋体" w:cs="宋体"/>
                <w:szCs w:val="21"/>
                <w:highlight w:val="none"/>
              </w:rPr>
              <w:t>满分</w:t>
            </w:r>
            <w:r>
              <w:rPr>
                <w:rFonts w:hint="eastAsia" w:ascii="宋体" w:hAnsi="宋体" w:cs="宋体"/>
                <w:szCs w:val="21"/>
                <w:highlight w:val="none"/>
                <w:lang w:val="en-US" w:eastAsia="zh-CN"/>
              </w:rPr>
              <w:t>9</w:t>
            </w:r>
            <w:r>
              <w:rPr>
                <w:rFonts w:hint="eastAsia" w:ascii="宋体" w:hAnsi="宋体" w:cs="宋体"/>
                <w:szCs w:val="21"/>
                <w:highlight w:val="none"/>
              </w:rPr>
              <w:t>分）</w:t>
            </w:r>
          </w:p>
        </w:tc>
        <w:tc>
          <w:tcPr>
            <w:tcW w:w="7739" w:type="dxa"/>
            <w:gridSpan w:val="2"/>
            <w:vAlign w:val="center"/>
          </w:tcPr>
          <w:p w14:paraId="796C3609">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Times New Roman" w:hAnsi="Times New Roman" w:eastAsia="宋体" w:cs="Times New Roman"/>
                <w:b w:val="0"/>
                <w:bCs w:val="0"/>
                <w:highlight w:val="none"/>
                <w:lang w:eastAsia="zh-CN"/>
              </w:rPr>
            </w:pPr>
            <w:r>
              <w:rPr>
                <w:rFonts w:hint="eastAsia" w:ascii="Times New Roman" w:hAnsi="Times New Roman" w:eastAsia="宋体" w:cs="Times New Roman"/>
                <w:b w:val="0"/>
                <w:bCs w:val="0"/>
                <w:highlight w:val="none"/>
                <w:lang w:eastAsia="zh-CN"/>
              </w:rPr>
              <w:t>根据供应商响应文件中针对本项目提供服务能力和服务承诺方案综合打分，本项满分</w:t>
            </w:r>
            <w:r>
              <w:rPr>
                <w:rFonts w:hint="eastAsia" w:ascii="Times New Roman" w:hAnsi="Times New Roman" w:eastAsia="宋体" w:cs="Times New Roman"/>
                <w:b w:val="0"/>
                <w:bCs w:val="0"/>
                <w:highlight w:val="none"/>
                <w:lang w:val="en-US" w:eastAsia="zh-CN"/>
              </w:rPr>
              <w:t>9分</w:t>
            </w:r>
            <w:r>
              <w:rPr>
                <w:rFonts w:hint="eastAsia" w:ascii="Times New Roman" w:hAnsi="Times New Roman" w:eastAsia="宋体" w:cs="Times New Roman"/>
                <w:b w:val="0"/>
                <w:bCs w:val="0"/>
                <w:highlight w:val="none"/>
                <w:lang w:eastAsia="zh-CN"/>
              </w:rPr>
              <w:t>：</w:t>
            </w:r>
          </w:p>
          <w:p w14:paraId="7D421B22">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Times New Roman" w:hAnsi="Times New Roman" w:eastAsia="宋体" w:cs="Times New Roman"/>
                <w:b w:val="0"/>
                <w:bCs w:val="0"/>
                <w:highlight w:val="none"/>
                <w:lang w:eastAsia="zh-CN"/>
              </w:rPr>
            </w:pPr>
            <w:r>
              <w:rPr>
                <w:rFonts w:hint="eastAsia" w:ascii="Times New Roman" w:hAnsi="Times New Roman" w:eastAsia="宋体" w:cs="Times New Roman"/>
                <w:b w:val="0"/>
                <w:bCs w:val="0"/>
                <w:highlight w:val="none"/>
                <w:lang w:val="en-US" w:eastAsia="zh-CN"/>
              </w:rPr>
              <w:t>1.</w:t>
            </w:r>
            <w:r>
              <w:rPr>
                <w:rFonts w:hint="eastAsia" w:ascii="Times New Roman" w:hAnsi="Times New Roman" w:eastAsia="宋体" w:cs="Times New Roman"/>
                <w:b w:val="0"/>
                <w:bCs w:val="0"/>
                <w:highlight w:val="none"/>
                <w:lang w:eastAsia="zh-CN"/>
              </w:rPr>
              <w:t>供应商具备完备的服务体系，培训方案及计划合理，售后服务文档完整，满足采购人的各项维护时限要求，后期服务针对本项目有专项售后队伍，</w:t>
            </w:r>
            <w:r>
              <w:rPr>
                <w:rFonts w:hint="eastAsia" w:ascii="Times New Roman" w:hAnsi="Times New Roman" w:eastAsia="宋体" w:cs="Times New Roman"/>
                <w:b/>
                <w:bCs/>
                <w:highlight w:val="none"/>
                <w:lang w:eastAsia="zh-CN"/>
              </w:rPr>
              <w:t>售后服务人数不少于5人</w:t>
            </w:r>
            <w:r>
              <w:rPr>
                <w:rFonts w:hint="eastAsia" w:ascii="Times New Roman" w:hAnsi="Times New Roman" w:eastAsia="宋体" w:cs="Times New Roman"/>
                <w:b w:val="0"/>
                <w:bCs w:val="0"/>
                <w:highlight w:val="none"/>
                <w:lang w:eastAsia="zh-CN"/>
              </w:rPr>
              <w:t>，突发状况应对预案合理, 得</w:t>
            </w:r>
            <w:r>
              <w:rPr>
                <w:rFonts w:hint="eastAsia" w:ascii="Times New Roman" w:hAnsi="Times New Roman" w:eastAsia="宋体" w:cs="Times New Roman"/>
                <w:b w:val="0"/>
                <w:bCs w:val="0"/>
                <w:highlight w:val="none"/>
                <w:lang w:val="en-US" w:eastAsia="zh-CN"/>
              </w:rPr>
              <w:t>9</w:t>
            </w:r>
            <w:r>
              <w:rPr>
                <w:rFonts w:hint="eastAsia" w:ascii="Times New Roman" w:hAnsi="Times New Roman" w:eastAsia="宋体" w:cs="Times New Roman"/>
                <w:b w:val="0"/>
                <w:bCs w:val="0"/>
                <w:highlight w:val="none"/>
                <w:lang w:eastAsia="zh-CN"/>
              </w:rPr>
              <w:t>分；</w:t>
            </w:r>
          </w:p>
          <w:p w14:paraId="3656773D">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Times New Roman" w:hAnsi="Times New Roman" w:eastAsia="宋体" w:cs="Times New Roman"/>
                <w:b w:val="0"/>
                <w:bCs w:val="0"/>
                <w:highlight w:val="none"/>
                <w:lang w:eastAsia="zh-CN"/>
              </w:rPr>
            </w:pPr>
            <w:r>
              <w:rPr>
                <w:rFonts w:hint="eastAsia" w:ascii="Times New Roman" w:hAnsi="Times New Roman" w:eastAsia="宋体" w:cs="Times New Roman"/>
                <w:b w:val="0"/>
                <w:bCs w:val="0"/>
                <w:highlight w:val="none"/>
                <w:lang w:val="en-US" w:eastAsia="zh-CN"/>
              </w:rPr>
              <w:t>2.供应商具备完备的服务体系，培训方案及计划较合理，售后服务文档较完整，满足采购人的各项维护时限要求，后期服务组织无针对性，</w:t>
            </w:r>
            <w:r>
              <w:rPr>
                <w:rFonts w:hint="eastAsia" w:ascii="Times New Roman" w:hAnsi="Times New Roman" w:eastAsia="宋体" w:cs="Times New Roman"/>
                <w:b/>
                <w:bCs/>
                <w:highlight w:val="none"/>
                <w:lang w:val="en-US" w:eastAsia="zh-CN"/>
              </w:rPr>
              <w:t>售后服务人数不少于3人</w:t>
            </w:r>
            <w:r>
              <w:rPr>
                <w:rFonts w:hint="eastAsia" w:ascii="Times New Roman" w:hAnsi="Times New Roman" w:eastAsia="宋体" w:cs="Times New Roman"/>
                <w:b w:val="0"/>
                <w:bCs w:val="0"/>
                <w:highlight w:val="none"/>
                <w:lang w:val="en-US" w:eastAsia="zh-CN"/>
              </w:rPr>
              <w:t>，突发状况应对预案较合理</w:t>
            </w:r>
            <w:r>
              <w:rPr>
                <w:rFonts w:hint="eastAsia" w:ascii="Times New Roman" w:hAnsi="Times New Roman" w:eastAsia="宋体" w:cs="Times New Roman"/>
                <w:b w:val="0"/>
                <w:bCs w:val="0"/>
                <w:highlight w:val="none"/>
                <w:lang w:eastAsia="zh-CN"/>
              </w:rPr>
              <w:t>，得</w:t>
            </w:r>
            <w:r>
              <w:rPr>
                <w:rFonts w:hint="eastAsia" w:ascii="Times New Roman" w:hAnsi="Times New Roman" w:eastAsia="宋体" w:cs="Times New Roman"/>
                <w:b w:val="0"/>
                <w:bCs w:val="0"/>
                <w:highlight w:val="none"/>
                <w:lang w:val="en-US" w:eastAsia="zh-CN"/>
              </w:rPr>
              <w:t>6</w:t>
            </w:r>
            <w:r>
              <w:rPr>
                <w:rFonts w:hint="eastAsia" w:ascii="Times New Roman" w:hAnsi="Times New Roman" w:eastAsia="宋体" w:cs="Times New Roman"/>
                <w:b w:val="0"/>
                <w:bCs w:val="0"/>
                <w:highlight w:val="none"/>
                <w:lang w:eastAsia="zh-CN"/>
              </w:rPr>
              <w:t>分；</w:t>
            </w:r>
          </w:p>
          <w:p w14:paraId="00F42F45">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Times New Roman" w:hAnsi="Times New Roman" w:eastAsia="宋体" w:cs="Times New Roman"/>
                <w:b w:val="0"/>
                <w:bCs w:val="0"/>
                <w:highlight w:val="none"/>
                <w:lang w:eastAsia="zh-CN"/>
              </w:rPr>
            </w:pPr>
            <w:r>
              <w:rPr>
                <w:rFonts w:hint="eastAsia" w:ascii="Times New Roman" w:hAnsi="Times New Roman" w:eastAsia="宋体" w:cs="Times New Roman"/>
                <w:b w:val="0"/>
                <w:bCs w:val="0"/>
                <w:highlight w:val="none"/>
                <w:lang w:val="en-US" w:eastAsia="zh-CN"/>
              </w:rPr>
              <w:t>3.供应商具备服务体系，培训方案及计划不够合理，满足采购人的各项维护时限要求，后期服务组织无针对性，</w:t>
            </w:r>
            <w:r>
              <w:rPr>
                <w:rFonts w:hint="eastAsia" w:ascii="Times New Roman" w:hAnsi="Times New Roman" w:eastAsia="宋体" w:cs="Times New Roman"/>
                <w:b/>
                <w:bCs/>
                <w:highlight w:val="none"/>
                <w:lang w:val="en-US" w:eastAsia="zh-CN"/>
              </w:rPr>
              <w:t>售后服务人数不少于2人</w:t>
            </w:r>
            <w:r>
              <w:rPr>
                <w:rFonts w:hint="eastAsia" w:ascii="Times New Roman" w:hAnsi="Times New Roman" w:eastAsia="宋体" w:cs="Times New Roman"/>
                <w:b w:val="0"/>
                <w:bCs w:val="0"/>
                <w:highlight w:val="none"/>
                <w:lang w:val="en-US" w:eastAsia="zh-CN"/>
              </w:rPr>
              <w:t>，突发状况应对预案不合理</w:t>
            </w:r>
            <w:r>
              <w:rPr>
                <w:rFonts w:hint="eastAsia" w:ascii="Times New Roman" w:hAnsi="Times New Roman" w:eastAsia="宋体" w:cs="Times New Roman"/>
                <w:b w:val="0"/>
                <w:bCs w:val="0"/>
                <w:highlight w:val="none"/>
                <w:lang w:eastAsia="zh-CN"/>
              </w:rPr>
              <w:t>，得</w:t>
            </w:r>
            <w:r>
              <w:rPr>
                <w:rFonts w:hint="eastAsia" w:ascii="Times New Roman" w:hAnsi="Times New Roman" w:eastAsia="宋体" w:cs="Times New Roman"/>
                <w:b w:val="0"/>
                <w:bCs w:val="0"/>
                <w:highlight w:val="none"/>
                <w:lang w:val="en-US" w:eastAsia="zh-CN"/>
              </w:rPr>
              <w:t>2</w:t>
            </w:r>
            <w:r>
              <w:rPr>
                <w:rFonts w:hint="eastAsia" w:ascii="Times New Roman" w:hAnsi="Times New Roman" w:eastAsia="宋体" w:cs="Times New Roman"/>
                <w:b w:val="0"/>
                <w:bCs w:val="0"/>
                <w:highlight w:val="none"/>
                <w:lang w:eastAsia="zh-CN"/>
              </w:rPr>
              <w:t>分；</w:t>
            </w:r>
          </w:p>
          <w:p w14:paraId="48995EA6">
            <w:pPr>
              <w:keepNext w:val="0"/>
              <w:keepLines w:val="0"/>
              <w:pageBreakBefore w:val="0"/>
              <w:widowControl w:val="0"/>
              <w:kinsoku/>
              <w:wordWrap/>
              <w:overflowPunct/>
              <w:topLinePunct w:val="0"/>
              <w:autoSpaceDE/>
              <w:autoSpaceDN/>
              <w:bidi w:val="0"/>
              <w:spacing w:line="360" w:lineRule="auto"/>
              <w:jc w:val="left"/>
              <w:textAlignment w:val="auto"/>
              <w:rPr>
                <w:rFonts w:hint="eastAsia" w:eastAsia="宋体"/>
                <w:highlight w:val="none"/>
                <w:lang w:eastAsia="zh-CN"/>
              </w:rPr>
            </w:pPr>
            <w:r>
              <w:rPr>
                <w:rFonts w:hint="eastAsia" w:ascii="Times New Roman" w:hAnsi="Times New Roman" w:eastAsia="宋体" w:cs="Times New Roman"/>
                <w:b w:val="0"/>
                <w:bCs w:val="0"/>
                <w:highlight w:val="none"/>
                <w:lang w:val="en-US" w:eastAsia="zh-CN"/>
              </w:rPr>
              <w:t xml:space="preserve">  4.</w:t>
            </w:r>
            <w:r>
              <w:rPr>
                <w:rFonts w:hint="eastAsia" w:ascii="Times New Roman" w:hAnsi="Times New Roman" w:eastAsia="宋体" w:cs="Times New Roman"/>
                <w:b w:val="0"/>
                <w:bCs w:val="0"/>
                <w:highlight w:val="none"/>
                <w:lang w:eastAsia="zh-CN"/>
              </w:rPr>
              <w:t xml:space="preserve">方案较差或未提供相关内容的不得分。 </w:t>
            </w:r>
          </w:p>
        </w:tc>
      </w:tr>
      <w:tr w14:paraId="6895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987" w:hRule="atLeast"/>
          <w:jc w:val="center"/>
        </w:trPr>
        <w:tc>
          <w:tcPr>
            <w:tcW w:w="9828" w:type="dxa"/>
            <w:gridSpan w:val="2"/>
            <w:tcBorders>
              <w:top w:val="single" w:color="auto" w:sz="4" w:space="0"/>
              <w:left w:val="single" w:color="auto" w:sz="4" w:space="0"/>
              <w:bottom w:val="single" w:color="auto" w:sz="4" w:space="0"/>
              <w:right w:val="single" w:color="auto" w:sz="4" w:space="0"/>
            </w:tcBorders>
            <w:vAlign w:val="center"/>
          </w:tcPr>
          <w:p w14:paraId="01429F83">
            <w:pPr>
              <w:tabs>
                <w:tab w:val="left" w:pos="1077"/>
              </w:tabs>
              <w:adjustRightInd w:val="0"/>
              <w:snapToGrid w:val="0"/>
              <w:spacing w:line="360" w:lineRule="exact"/>
              <w:ind w:left="-35" w:right="-38" w:firstLine="211" w:firstLineChars="100"/>
              <w:rPr>
                <w:rFonts w:hint="eastAsia" w:eastAsia="宋体"/>
                <w:highlight w:val="none"/>
                <w:lang w:eastAsia="zh-CN"/>
              </w:rPr>
            </w:pPr>
            <w:r>
              <w:rPr>
                <w:rFonts w:hint="eastAsia"/>
                <w:b/>
                <w:bCs/>
                <w:highlight w:val="none"/>
                <w:lang w:eastAsia="zh-CN"/>
              </w:rPr>
              <w:t>商务部分（</w:t>
            </w:r>
            <w:r>
              <w:rPr>
                <w:rFonts w:hint="eastAsia"/>
                <w:b/>
                <w:bCs/>
                <w:highlight w:val="none"/>
                <w:lang w:val="en-US" w:eastAsia="zh-CN"/>
              </w:rPr>
              <w:t>10分</w:t>
            </w:r>
            <w:r>
              <w:rPr>
                <w:rFonts w:hint="eastAsia"/>
                <w:b/>
                <w:bCs/>
                <w:highlight w:val="none"/>
                <w:lang w:eastAsia="zh-CN"/>
              </w:rPr>
              <w:t>）</w:t>
            </w:r>
          </w:p>
        </w:tc>
      </w:tr>
      <w:tr w14:paraId="5E37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3322" w:hRule="atLeast"/>
          <w:jc w:val="center"/>
        </w:trPr>
        <w:tc>
          <w:tcPr>
            <w:tcW w:w="2179" w:type="dxa"/>
            <w:tcBorders>
              <w:top w:val="single" w:color="auto" w:sz="4" w:space="0"/>
              <w:left w:val="single" w:color="auto" w:sz="4" w:space="0"/>
              <w:bottom w:val="single" w:color="auto" w:sz="4" w:space="0"/>
              <w:right w:val="single" w:color="auto" w:sz="4" w:space="0"/>
            </w:tcBorders>
            <w:vAlign w:val="center"/>
          </w:tcPr>
          <w:p w14:paraId="408659A7">
            <w:pPr>
              <w:pStyle w:val="27"/>
              <w:ind w:left="0" w:leftChars="0" w:firstLine="0" w:firstLineChars="0"/>
              <w:jc w:val="center"/>
              <w:rPr>
                <w:highlight w:val="none"/>
              </w:rPr>
            </w:pPr>
            <w:r>
              <w:rPr>
                <w:rFonts w:hint="eastAsia" w:ascii="宋体" w:hAnsi="宋体" w:eastAsia="宋体" w:cs="宋体"/>
                <w:kern w:val="2"/>
                <w:sz w:val="21"/>
                <w:szCs w:val="22"/>
                <w:highlight w:val="none"/>
              </w:rPr>
              <w:t>报价（满分</w:t>
            </w:r>
            <w:r>
              <w:rPr>
                <w:rFonts w:hint="eastAsia" w:ascii="宋体" w:hAnsi="宋体" w:eastAsia="宋体" w:cs="宋体"/>
                <w:kern w:val="2"/>
                <w:sz w:val="21"/>
                <w:szCs w:val="22"/>
                <w:highlight w:val="none"/>
                <w:lang w:val="en-US" w:eastAsia="zh-CN"/>
              </w:rPr>
              <w:t>10</w:t>
            </w:r>
            <w:r>
              <w:rPr>
                <w:rFonts w:hint="eastAsia" w:ascii="宋体" w:hAnsi="宋体" w:eastAsia="宋体" w:cs="宋体"/>
                <w:color w:val="auto"/>
                <w:kern w:val="2"/>
                <w:sz w:val="21"/>
                <w:szCs w:val="22"/>
                <w:highlight w:val="none"/>
              </w:rPr>
              <w:t>分</w:t>
            </w:r>
            <w:r>
              <w:rPr>
                <w:rFonts w:hint="eastAsia" w:ascii="宋体" w:hAnsi="宋体" w:eastAsia="宋体" w:cs="宋体"/>
                <w:kern w:val="2"/>
                <w:sz w:val="21"/>
                <w:szCs w:val="22"/>
                <w:highlight w:val="none"/>
              </w:rPr>
              <w:t>）</w:t>
            </w:r>
          </w:p>
        </w:tc>
        <w:tc>
          <w:tcPr>
            <w:tcW w:w="7649" w:type="dxa"/>
            <w:tcBorders>
              <w:top w:val="single" w:color="auto" w:sz="4" w:space="0"/>
              <w:left w:val="single" w:color="auto" w:sz="4" w:space="0"/>
              <w:bottom w:val="single" w:color="auto" w:sz="4" w:space="0"/>
              <w:right w:val="single" w:color="auto" w:sz="4" w:space="0"/>
            </w:tcBorders>
            <w:vAlign w:val="center"/>
          </w:tcPr>
          <w:p w14:paraId="0D0B1976">
            <w:pPr>
              <w:tabs>
                <w:tab w:val="left" w:pos="1080"/>
              </w:tabs>
              <w:spacing w:line="360" w:lineRule="auto"/>
              <w:ind w:right="108" w:firstLine="21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价格分统一采用低价优先法，即满足</w:t>
            </w:r>
            <w:r>
              <w:rPr>
                <w:rFonts w:hint="eastAsia" w:cs="Times New Roman"/>
                <w:highlight w:val="none"/>
                <w:lang w:val="en-US" w:eastAsia="zh-CN"/>
              </w:rPr>
              <w:t>磋商文件</w:t>
            </w:r>
            <w:r>
              <w:rPr>
                <w:rFonts w:hint="eastAsia" w:ascii="Times New Roman" w:hAnsi="Times New Roman" w:cs="Times New Roman"/>
                <w:highlight w:val="none"/>
                <w:lang w:val="en-US" w:eastAsia="zh-CN"/>
              </w:rPr>
              <w:t>要求且</w:t>
            </w:r>
            <w:r>
              <w:rPr>
                <w:rFonts w:hint="eastAsia" w:ascii="Times New Roman" w:hAnsi="Times New Roman" w:cs="Times New Roman"/>
                <w:b/>
                <w:bCs/>
                <w:highlight w:val="none"/>
                <w:lang w:val="en-US" w:eastAsia="zh-CN"/>
              </w:rPr>
              <w:t>投标价格最低的投标报价</w:t>
            </w:r>
            <w:r>
              <w:rPr>
                <w:rFonts w:hint="eastAsia" w:ascii="Times New Roman" w:hAnsi="Times New Roman" w:cs="Times New Roman"/>
                <w:highlight w:val="none"/>
                <w:lang w:val="en-US" w:eastAsia="zh-CN"/>
              </w:rPr>
              <w:t>为评标基准价，其价格分为满分</w:t>
            </w:r>
            <w:r>
              <w:rPr>
                <w:rFonts w:hint="eastAsia" w:cs="Times New Roman"/>
                <w:highlight w:val="none"/>
                <w:lang w:val="en-US" w:eastAsia="zh-CN"/>
              </w:rPr>
              <w:t>10</w:t>
            </w:r>
            <w:r>
              <w:rPr>
                <w:rFonts w:hint="eastAsia" w:ascii="Times New Roman" w:hAnsi="Times New Roman" w:cs="Times New Roman"/>
                <w:highlight w:val="none"/>
                <w:lang w:val="en-US" w:eastAsia="zh-CN"/>
              </w:rPr>
              <w:t>分。其他投标供应商的价格分统一按照下列公式计算：</w:t>
            </w:r>
          </w:p>
          <w:p w14:paraId="31AB9E3A">
            <w:pPr>
              <w:tabs>
                <w:tab w:val="left" w:pos="1080"/>
              </w:tabs>
              <w:spacing w:line="360" w:lineRule="auto"/>
              <w:ind w:right="108" w:firstLine="210"/>
              <w:rPr>
                <w:rFonts w:hint="default" w:ascii="Times New Roman" w:hAnsi="Times New Roman" w:cs="Times New Roman"/>
                <w:highlight w:val="none"/>
                <w:lang w:val="en-US"/>
              </w:rPr>
            </w:pPr>
            <w:r>
              <w:rPr>
                <w:rFonts w:hint="eastAsia" w:ascii="Times New Roman" w:hAnsi="Times New Roman" w:cs="Times New Roman"/>
                <w:highlight w:val="none"/>
                <w:lang w:val="en-US" w:eastAsia="zh-CN"/>
              </w:rPr>
              <w:t>投标报价得分＝（评标基准价/投标报价）×</w:t>
            </w:r>
            <w:r>
              <w:rPr>
                <w:rFonts w:hint="eastAsia" w:cs="Times New Roman"/>
                <w:highlight w:val="none"/>
                <w:lang w:val="en-US" w:eastAsia="zh-CN"/>
              </w:rPr>
              <w:t>10%</w:t>
            </w:r>
            <w:r>
              <w:rPr>
                <w:rFonts w:hint="eastAsia" w:ascii="Times New Roman" w:hAnsi="Times New Roman" w:cs="Times New Roman"/>
                <w:highlight w:val="none"/>
                <w:lang w:val="en-US" w:eastAsia="zh-CN"/>
              </w:rPr>
              <w:t>×</w:t>
            </w:r>
            <w:r>
              <w:rPr>
                <w:rFonts w:hint="eastAsia" w:cs="Times New Roman"/>
                <w:highlight w:val="none"/>
                <w:lang w:val="en-US" w:eastAsia="zh-CN"/>
              </w:rPr>
              <w:t>100（得分保留两位小数，第三位四舍五入）。</w:t>
            </w:r>
          </w:p>
          <w:p w14:paraId="532850B1">
            <w:pPr>
              <w:tabs>
                <w:tab w:val="left" w:pos="1077"/>
              </w:tabs>
              <w:adjustRightInd w:val="0"/>
              <w:snapToGrid w:val="0"/>
              <w:spacing w:line="360" w:lineRule="exact"/>
              <w:ind w:left="-35" w:right="-38" w:firstLine="210" w:firstLineChars="100"/>
              <w:rPr>
                <w:highlight w:val="none"/>
              </w:rPr>
            </w:pPr>
            <w:r>
              <w:rPr>
                <w:rFonts w:hint="eastAsia"/>
                <w:highlight w:val="none"/>
              </w:rPr>
              <w:t>本项分值由评标委员会负责组织计算。</w:t>
            </w:r>
          </w:p>
        </w:tc>
      </w:tr>
    </w:tbl>
    <w:p w14:paraId="7712D8FF">
      <w:pPr>
        <w:rPr>
          <w:rFonts w:hint="eastAsia" w:asciiTheme="minorEastAsia" w:hAnsiTheme="minorEastAsia" w:eastAsiaTheme="minorEastAsia" w:cstheme="minorEastAsia"/>
          <w:b/>
          <w:sz w:val="21"/>
          <w:szCs w:val="21"/>
          <w:highlight w:val="none"/>
          <w:lang w:val="zh-CN" w:eastAsia="zh-CN"/>
        </w:rPr>
      </w:pPr>
    </w:p>
    <w:p w14:paraId="1D5EDD3D">
      <w:pPr>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br w:type="page"/>
      </w:r>
    </w:p>
    <w:p w14:paraId="2CC02998">
      <w:pPr>
        <w:spacing w:line="560" w:lineRule="exact"/>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eastAsia="zh-CN"/>
        </w:rPr>
        <w:t>（第二包详细评审）：</w:t>
      </w:r>
    </w:p>
    <w:tbl>
      <w:tblPr>
        <w:tblStyle w:val="2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9"/>
        <w:gridCol w:w="7739"/>
      </w:tblGrid>
      <w:tr w14:paraId="36BE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179" w:type="dxa"/>
            <w:tcBorders>
              <w:top w:val="single" w:color="auto" w:sz="4" w:space="0"/>
              <w:left w:val="single" w:color="auto" w:sz="4" w:space="0"/>
              <w:bottom w:val="single" w:color="auto" w:sz="4" w:space="0"/>
              <w:right w:val="single" w:color="auto" w:sz="4" w:space="0"/>
            </w:tcBorders>
            <w:vAlign w:val="center"/>
          </w:tcPr>
          <w:p w14:paraId="3FC3874D">
            <w:pPr>
              <w:adjustRightInd w:val="0"/>
              <w:snapToGrid w:val="0"/>
              <w:spacing w:line="360" w:lineRule="exact"/>
              <w:ind w:left="-35" w:right="-38"/>
              <w:jc w:val="center"/>
              <w:rPr>
                <w:rFonts w:hint="eastAsia" w:ascii="宋体" w:hAnsi="宋体" w:eastAsia="宋体" w:cs="宋体"/>
                <w:szCs w:val="21"/>
                <w:highlight w:val="none"/>
                <w:lang w:eastAsia="zh-CN"/>
              </w:rPr>
            </w:pPr>
            <w:r>
              <w:rPr>
                <w:b/>
                <w:color w:val="000000"/>
                <w:sz w:val="21"/>
                <w:szCs w:val="21"/>
                <w:highlight w:val="none"/>
              </w:rPr>
              <w:t>评分因素及</w:t>
            </w:r>
            <w:r>
              <w:rPr>
                <w:rFonts w:hint="eastAsia"/>
                <w:b/>
                <w:color w:val="000000"/>
                <w:sz w:val="21"/>
                <w:szCs w:val="21"/>
                <w:highlight w:val="none"/>
                <w:lang w:eastAsia="zh-CN"/>
              </w:rPr>
              <w:t>分值</w:t>
            </w:r>
          </w:p>
        </w:tc>
        <w:tc>
          <w:tcPr>
            <w:tcW w:w="7739" w:type="dxa"/>
            <w:tcBorders>
              <w:top w:val="single" w:color="auto" w:sz="4" w:space="0"/>
              <w:left w:val="single" w:color="auto" w:sz="4" w:space="0"/>
              <w:bottom w:val="single" w:color="auto" w:sz="4" w:space="0"/>
              <w:right w:val="single" w:color="auto" w:sz="4" w:space="0"/>
            </w:tcBorders>
            <w:vAlign w:val="center"/>
          </w:tcPr>
          <w:p w14:paraId="36FEA48E">
            <w:pPr>
              <w:adjustRightInd w:val="0"/>
              <w:snapToGrid w:val="0"/>
              <w:spacing w:line="360" w:lineRule="exact"/>
              <w:ind w:left="-35" w:right="-38"/>
              <w:jc w:val="center"/>
              <w:rPr>
                <w:kern w:val="2"/>
                <w:sz w:val="21"/>
                <w:szCs w:val="22"/>
                <w:highlight w:val="none"/>
              </w:rPr>
            </w:pPr>
            <w:r>
              <w:rPr>
                <w:b/>
                <w:color w:val="000000"/>
                <w:sz w:val="21"/>
                <w:szCs w:val="21"/>
                <w:highlight w:val="none"/>
              </w:rPr>
              <w:t>评分标准</w:t>
            </w:r>
          </w:p>
        </w:tc>
      </w:tr>
      <w:tr w14:paraId="373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918" w:type="dxa"/>
            <w:gridSpan w:val="2"/>
            <w:tcBorders>
              <w:top w:val="single" w:color="auto" w:sz="4" w:space="0"/>
              <w:left w:val="single" w:color="auto" w:sz="4" w:space="0"/>
              <w:bottom w:val="single" w:color="auto" w:sz="4" w:space="0"/>
              <w:right w:val="single" w:color="auto" w:sz="4" w:space="0"/>
            </w:tcBorders>
            <w:vAlign w:val="center"/>
          </w:tcPr>
          <w:p w14:paraId="545DC05B">
            <w:pPr>
              <w:adjustRightInd w:val="0"/>
              <w:snapToGrid w:val="0"/>
              <w:spacing w:line="360" w:lineRule="exact"/>
              <w:ind w:left="-35" w:right="-38"/>
              <w:jc w:val="both"/>
              <w:rPr>
                <w:rFonts w:hint="eastAsia" w:eastAsia="宋体"/>
                <w:b/>
                <w:color w:val="000000"/>
                <w:sz w:val="21"/>
                <w:szCs w:val="21"/>
                <w:highlight w:val="none"/>
                <w:lang w:eastAsia="zh-CN"/>
              </w:rPr>
            </w:pPr>
            <w:r>
              <w:rPr>
                <w:rFonts w:hint="eastAsia"/>
                <w:b/>
                <w:color w:val="000000"/>
                <w:sz w:val="21"/>
                <w:szCs w:val="21"/>
                <w:highlight w:val="none"/>
              </w:rPr>
              <w:t>技术资信部分</w:t>
            </w:r>
            <w:r>
              <w:rPr>
                <w:rFonts w:hint="eastAsia"/>
                <w:b/>
                <w:color w:val="000000"/>
                <w:sz w:val="21"/>
                <w:szCs w:val="21"/>
                <w:highlight w:val="none"/>
                <w:lang w:eastAsia="zh-CN"/>
              </w:rPr>
              <w:t>（</w:t>
            </w:r>
            <w:r>
              <w:rPr>
                <w:rFonts w:hint="eastAsia"/>
                <w:b/>
                <w:color w:val="000000"/>
                <w:sz w:val="21"/>
                <w:szCs w:val="21"/>
                <w:highlight w:val="none"/>
                <w:lang w:val="en-US" w:eastAsia="zh-CN"/>
              </w:rPr>
              <w:t>90分</w:t>
            </w:r>
            <w:r>
              <w:rPr>
                <w:rFonts w:hint="eastAsia"/>
                <w:b/>
                <w:color w:val="000000"/>
                <w:sz w:val="21"/>
                <w:szCs w:val="21"/>
                <w:highlight w:val="none"/>
                <w:lang w:eastAsia="zh-CN"/>
              </w:rPr>
              <w:t>）</w:t>
            </w:r>
          </w:p>
        </w:tc>
      </w:tr>
      <w:tr w14:paraId="44F2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jc w:val="center"/>
        </w:trPr>
        <w:tc>
          <w:tcPr>
            <w:tcW w:w="2179" w:type="dxa"/>
            <w:tcBorders>
              <w:top w:val="single" w:color="auto" w:sz="4" w:space="0"/>
              <w:left w:val="single" w:color="auto" w:sz="4" w:space="0"/>
              <w:right w:val="single" w:color="auto" w:sz="4" w:space="0"/>
            </w:tcBorders>
            <w:vAlign w:val="center"/>
          </w:tcPr>
          <w:p w14:paraId="7F2C5B27">
            <w:pPr>
              <w:keepNext w:val="0"/>
              <w:keepLines w:val="0"/>
              <w:pageBreakBefore w:val="0"/>
              <w:widowControl w:val="0"/>
              <w:kinsoku/>
              <w:wordWrap/>
              <w:overflowPunct/>
              <w:topLinePunct w:val="0"/>
              <w:autoSpaceDE/>
              <w:autoSpaceDN/>
              <w:bidi w:val="0"/>
              <w:adjustRightInd w:val="0"/>
              <w:snapToGrid w:val="0"/>
              <w:spacing w:line="399" w:lineRule="auto"/>
              <w:ind w:left="-35" w:right="-38"/>
              <w:jc w:val="center"/>
              <w:textAlignment w:val="auto"/>
              <w:rPr>
                <w:rFonts w:hint="eastAsia" w:eastAsia="宋体"/>
                <w:b/>
                <w:color w:val="000000"/>
                <w:sz w:val="21"/>
                <w:szCs w:val="21"/>
                <w:highlight w:val="none"/>
                <w:lang w:eastAsia="zh-CN"/>
              </w:rPr>
            </w:pPr>
            <w:r>
              <w:rPr>
                <w:rFonts w:hint="eastAsia" w:ascii="宋体" w:hAnsi="宋体" w:cs="宋体"/>
                <w:b w:val="0"/>
                <w:bCs w:val="0"/>
                <w:sz w:val="21"/>
                <w:szCs w:val="21"/>
                <w:highlight w:val="none"/>
                <w:lang w:eastAsia="zh-CN"/>
              </w:rPr>
              <w:t>供应商业绩</w:t>
            </w:r>
            <w:r>
              <w:rPr>
                <w:rFonts w:hint="eastAsia" w:ascii="宋体" w:hAnsi="宋体" w:cs="宋体"/>
                <w:b w:val="0"/>
                <w:bCs w:val="0"/>
                <w:sz w:val="21"/>
                <w:szCs w:val="21"/>
                <w:highlight w:val="none"/>
                <w:lang w:val="en-US" w:eastAsia="zh-CN"/>
              </w:rPr>
              <w:t xml:space="preserve">               </w:t>
            </w:r>
            <w:r>
              <w:rPr>
                <w:rFonts w:hint="eastAsia" w:ascii="宋体" w:hAnsi="宋体" w:cs="宋体"/>
                <w:b w:val="0"/>
                <w:bCs w:val="0"/>
                <w:sz w:val="21"/>
                <w:szCs w:val="21"/>
                <w:highlight w:val="none"/>
                <w:lang w:eastAsia="zh-CN"/>
              </w:rPr>
              <w:t>（满分</w:t>
            </w:r>
            <w:r>
              <w:rPr>
                <w:rFonts w:hint="eastAsia" w:ascii="宋体" w:hAnsi="宋体" w:cs="宋体"/>
                <w:b w:val="0"/>
                <w:bCs w:val="0"/>
                <w:sz w:val="21"/>
                <w:szCs w:val="21"/>
                <w:highlight w:val="none"/>
                <w:lang w:val="en-US" w:eastAsia="zh-CN"/>
              </w:rPr>
              <w:t>9分</w:t>
            </w:r>
            <w:r>
              <w:rPr>
                <w:rFonts w:hint="eastAsia" w:ascii="宋体" w:hAnsi="宋体" w:cs="宋体"/>
                <w:b w:val="0"/>
                <w:bCs w:val="0"/>
                <w:sz w:val="21"/>
                <w:szCs w:val="21"/>
                <w:highlight w:val="none"/>
                <w:lang w:eastAsia="zh-CN"/>
              </w:rPr>
              <w:t>）</w:t>
            </w:r>
          </w:p>
        </w:tc>
        <w:tc>
          <w:tcPr>
            <w:tcW w:w="7739" w:type="dxa"/>
            <w:tcBorders>
              <w:top w:val="single" w:color="auto" w:sz="4" w:space="0"/>
              <w:left w:val="single" w:color="auto" w:sz="4" w:space="0"/>
              <w:bottom w:val="single" w:color="auto" w:sz="4" w:space="0"/>
              <w:right w:val="single" w:color="auto" w:sz="4" w:space="0"/>
            </w:tcBorders>
            <w:vAlign w:val="center"/>
          </w:tcPr>
          <w:p w14:paraId="4F959859">
            <w:pPr>
              <w:keepNext w:val="0"/>
              <w:keepLines w:val="0"/>
              <w:pageBreakBefore w:val="0"/>
              <w:widowControl w:val="0"/>
              <w:kinsoku/>
              <w:wordWrap/>
              <w:overflowPunct/>
              <w:topLinePunct w:val="0"/>
              <w:autoSpaceDE/>
              <w:autoSpaceDN/>
              <w:bidi w:val="0"/>
              <w:adjustRightInd w:val="0"/>
              <w:snapToGrid w:val="0"/>
              <w:spacing w:line="399" w:lineRule="auto"/>
              <w:ind w:left="-35" w:right="-38" w:firstLine="420" w:firstLineChars="200"/>
              <w:jc w:val="both"/>
              <w:textAlignment w:val="auto"/>
              <w:rPr>
                <w:rFonts w:hint="eastAsia" w:ascii="宋体" w:hAnsi="宋体" w:cs="宋体"/>
                <w:b w:val="0"/>
                <w:bCs w:val="0"/>
                <w:sz w:val="21"/>
                <w:szCs w:val="21"/>
                <w:highlight w:val="none"/>
                <w:lang w:eastAsia="zh-CN"/>
              </w:rPr>
            </w:pPr>
            <w:r>
              <w:rPr>
                <w:rFonts w:hint="eastAsia" w:ascii="宋体" w:hAnsi="宋体" w:cs="宋体"/>
                <w:b w:val="0"/>
                <w:bCs w:val="0"/>
                <w:sz w:val="21"/>
                <w:szCs w:val="21"/>
                <w:highlight w:val="none"/>
                <w:lang w:eastAsia="zh-CN"/>
              </w:rPr>
              <w:t>供应商提供所投产品自2021年1月1日至今（以合同签订日期为准）同类项目业绩证明，每提供</w:t>
            </w:r>
            <w:r>
              <w:rPr>
                <w:rFonts w:hint="eastAsia" w:ascii="宋体" w:hAnsi="宋体" w:cs="宋体"/>
                <w:b w:val="0"/>
                <w:bCs w:val="0"/>
                <w:sz w:val="21"/>
                <w:szCs w:val="21"/>
                <w:highlight w:val="none"/>
                <w:lang w:val="en-US" w:eastAsia="zh-CN"/>
              </w:rPr>
              <w:t>1个业绩得</w:t>
            </w:r>
            <w:r>
              <w:rPr>
                <w:rFonts w:hint="eastAsia" w:ascii="宋体" w:hAnsi="宋体" w:cs="宋体"/>
                <w:b w:val="0"/>
                <w:bCs w:val="0"/>
                <w:sz w:val="21"/>
                <w:szCs w:val="21"/>
                <w:highlight w:val="none"/>
                <w:lang w:eastAsia="zh-CN"/>
              </w:rPr>
              <w:t>3分，满分9分。</w:t>
            </w:r>
          </w:p>
          <w:p w14:paraId="52BBFC4E">
            <w:pPr>
              <w:keepNext w:val="0"/>
              <w:keepLines w:val="0"/>
              <w:pageBreakBefore w:val="0"/>
              <w:widowControl w:val="0"/>
              <w:kinsoku/>
              <w:wordWrap/>
              <w:overflowPunct/>
              <w:topLinePunct w:val="0"/>
              <w:autoSpaceDE/>
              <w:autoSpaceDN/>
              <w:bidi w:val="0"/>
              <w:adjustRightInd w:val="0"/>
              <w:snapToGrid w:val="0"/>
              <w:spacing w:line="399" w:lineRule="auto"/>
              <w:ind w:right="-38"/>
              <w:jc w:val="both"/>
              <w:textAlignment w:val="auto"/>
              <w:rPr>
                <w:rFonts w:hint="eastAsia" w:ascii="宋体" w:hAnsi="宋体" w:eastAsia="宋体" w:cs="宋体"/>
                <w:b/>
                <w:bCs/>
                <w:i w:val="0"/>
                <w:iCs w:val="0"/>
                <w:color w:val="auto"/>
                <w:sz w:val="21"/>
                <w:szCs w:val="21"/>
                <w:highlight w:val="none"/>
                <w:shd w:val="clear" w:color="auto" w:fill="auto"/>
              </w:rPr>
            </w:pPr>
            <w:r>
              <w:rPr>
                <w:rFonts w:hint="eastAsia" w:ascii="宋体" w:hAnsi="宋体" w:eastAsia="宋体" w:cs="宋体"/>
                <w:b/>
                <w:bCs/>
                <w:i w:val="0"/>
                <w:iCs w:val="0"/>
                <w:color w:val="auto"/>
                <w:sz w:val="21"/>
                <w:szCs w:val="21"/>
                <w:highlight w:val="none"/>
                <w:shd w:val="clear" w:color="auto" w:fill="auto"/>
              </w:rPr>
              <w:t>注：1.同类项目业绩指供应商部署高校智慧教学系统服务</w:t>
            </w:r>
            <w:r>
              <w:rPr>
                <w:rFonts w:hint="eastAsia" w:ascii="宋体" w:hAnsi="宋体" w:eastAsia="宋体" w:cs="宋体"/>
                <w:b/>
                <w:bCs/>
                <w:i w:val="0"/>
                <w:iCs w:val="0"/>
                <w:color w:val="auto"/>
                <w:sz w:val="21"/>
                <w:szCs w:val="21"/>
                <w:highlight w:val="none"/>
                <w:shd w:val="clear" w:color="auto" w:fill="auto"/>
                <w:lang w:eastAsia="zh-CN"/>
              </w:rPr>
              <w:t>的</w:t>
            </w:r>
            <w:r>
              <w:rPr>
                <w:rFonts w:hint="eastAsia" w:ascii="宋体" w:hAnsi="宋体" w:eastAsia="宋体" w:cs="宋体"/>
                <w:b/>
                <w:bCs/>
                <w:i w:val="0"/>
                <w:iCs w:val="0"/>
                <w:color w:val="auto"/>
                <w:sz w:val="21"/>
                <w:szCs w:val="21"/>
                <w:highlight w:val="none"/>
                <w:shd w:val="clear" w:color="auto" w:fill="auto"/>
              </w:rPr>
              <w:t>成功案例，以合同签订时间为准。</w:t>
            </w:r>
          </w:p>
          <w:p w14:paraId="6C44B777">
            <w:pPr>
              <w:keepNext w:val="0"/>
              <w:keepLines w:val="0"/>
              <w:pageBreakBefore w:val="0"/>
              <w:widowControl w:val="0"/>
              <w:kinsoku/>
              <w:wordWrap/>
              <w:overflowPunct/>
              <w:topLinePunct w:val="0"/>
              <w:autoSpaceDE/>
              <w:autoSpaceDN/>
              <w:bidi w:val="0"/>
              <w:adjustRightInd w:val="0"/>
              <w:snapToGrid w:val="0"/>
              <w:spacing w:line="399" w:lineRule="auto"/>
              <w:ind w:left="-35" w:right="-38" w:firstLine="422" w:firstLineChars="200"/>
              <w:jc w:val="both"/>
              <w:textAlignment w:val="auto"/>
              <w:rPr>
                <w:rFonts w:hint="eastAsia" w:ascii="宋体" w:hAnsi="宋体" w:cs="宋体"/>
                <w:b w:val="0"/>
                <w:bCs w:val="0"/>
                <w:sz w:val="21"/>
                <w:szCs w:val="21"/>
                <w:highlight w:val="none"/>
                <w:lang w:val="en-US" w:eastAsia="zh-CN"/>
              </w:rPr>
            </w:pPr>
            <w:r>
              <w:rPr>
                <w:rFonts w:hint="eastAsia" w:ascii="宋体" w:hAnsi="宋体" w:eastAsia="宋体" w:cs="宋体"/>
                <w:b/>
                <w:bCs/>
                <w:i w:val="0"/>
                <w:iCs w:val="0"/>
                <w:color w:val="auto"/>
                <w:sz w:val="21"/>
                <w:szCs w:val="21"/>
                <w:highlight w:val="none"/>
                <w:shd w:val="clear" w:color="auto" w:fill="auto"/>
              </w:rPr>
              <w:t>2.响应文件中须提供业绩合同扫描件或影印件，如合同中无法体现服务内容等，另提供业主证明等相关证明材料。</w:t>
            </w:r>
          </w:p>
        </w:tc>
      </w:tr>
      <w:tr w14:paraId="5843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4" w:hRule="atLeast"/>
          <w:jc w:val="center"/>
        </w:trPr>
        <w:tc>
          <w:tcPr>
            <w:tcW w:w="2179" w:type="dxa"/>
            <w:tcBorders>
              <w:left w:val="single" w:color="auto" w:sz="4" w:space="0"/>
              <w:bottom w:val="single" w:color="auto" w:sz="4" w:space="0"/>
              <w:right w:val="single" w:color="auto" w:sz="4" w:space="0"/>
            </w:tcBorders>
            <w:vAlign w:val="center"/>
          </w:tcPr>
          <w:p w14:paraId="77D2976B">
            <w:pPr>
              <w:keepNext w:val="0"/>
              <w:keepLines w:val="0"/>
              <w:pageBreakBefore w:val="0"/>
              <w:widowControl w:val="0"/>
              <w:kinsoku/>
              <w:wordWrap/>
              <w:overflowPunct/>
              <w:topLinePunct w:val="0"/>
              <w:autoSpaceDE/>
              <w:autoSpaceDN/>
              <w:bidi w:val="0"/>
              <w:adjustRightInd w:val="0"/>
              <w:snapToGrid w:val="0"/>
              <w:spacing w:line="399" w:lineRule="auto"/>
              <w:ind w:left="-35" w:right="-38"/>
              <w:jc w:val="center"/>
              <w:textAlignment w:val="auto"/>
              <w:rPr>
                <w:rFonts w:hint="eastAsia" w:ascii="宋体" w:hAnsi="宋体" w:cs="宋体"/>
                <w:b w:val="0"/>
                <w:bCs w:val="0"/>
                <w:sz w:val="21"/>
                <w:szCs w:val="21"/>
                <w:highlight w:val="none"/>
                <w:lang w:eastAsia="zh-CN"/>
              </w:rPr>
            </w:pPr>
            <w:r>
              <w:rPr>
                <w:rFonts w:hint="eastAsia" w:ascii="宋体" w:hAnsi="宋体" w:cs="宋体"/>
                <w:b w:val="0"/>
                <w:bCs w:val="0"/>
                <w:sz w:val="21"/>
                <w:szCs w:val="21"/>
                <w:highlight w:val="none"/>
                <w:lang w:val="en-US" w:eastAsia="zh-CN"/>
              </w:rPr>
              <w:t xml:space="preserve">企业实力               </w:t>
            </w:r>
            <w:r>
              <w:rPr>
                <w:rFonts w:hint="eastAsia" w:ascii="宋体" w:hAnsi="宋体" w:cs="宋体"/>
                <w:b w:val="0"/>
                <w:bCs w:val="0"/>
                <w:sz w:val="21"/>
                <w:szCs w:val="21"/>
                <w:highlight w:val="none"/>
                <w:lang w:eastAsia="zh-CN"/>
              </w:rPr>
              <w:t>（满分</w:t>
            </w:r>
            <w:r>
              <w:rPr>
                <w:rFonts w:hint="eastAsia" w:ascii="宋体" w:hAnsi="宋体" w:cs="宋体"/>
                <w:b w:val="0"/>
                <w:bCs w:val="0"/>
                <w:sz w:val="21"/>
                <w:szCs w:val="21"/>
                <w:highlight w:val="none"/>
                <w:lang w:val="en-US" w:eastAsia="zh-CN"/>
              </w:rPr>
              <w:t>8分）</w:t>
            </w:r>
          </w:p>
        </w:tc>
        <w:tc>
          <w:tcPr>
            <w:tcW w:w="7739" w:type="dxa"/>
            <w:tcBorders>
              <w:top w:val="single" w:color="auto" w:sz="4" w:space="0"/>
              <w:left w:val="single" w:color="auto" w:sz="4" w:space="0"/>
              <w:bottom w:val="single" w:color="auto" w:sz="4" w:space="0"/>
              <w:right w:val="single" w:color="auto" w:sz="4" w:space="0"/>
            </w:tcBorders>
            <w:vAlign w:val="center"/>
          </w:tcPr>
          <w:p w14:paraId="2396EC32">
            <w:pPr>
              <w:keepNext w:val="0"/>
              <w:keepLines w:val="0"/>
              <w:pageBreakBefore w:val="0"/>
              <w:widowControl w:val="0"/>
              <w:kinsoku/>
              <w:wordWrap/>
              <w:overflowPunct/>
              <w:topLinePunct w:val="0"/>
              <w:autoSpaceDE/>
              <w:autoSpaceDN/>
              <w:bidi w:val="0"/>
              <w:adjustRightInd w:val="0"/>
              <w:snapToGrid w:val="0"/>
              <w:spacing w:line="399" w:lineRule="auto"/>
              <w:ind w:right="-38" w:firstLine="210" w:firstLineChars="100"/>
              <w:jc w:val="both"/>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1</w:t>
            </w:r>
            <w:r>
              <w:rPr>
                <w:rFonts w:hint="eastAsia" w:ascii="宋体" w:hAnsi="宋体" w:cs="宋体"/>
                <w:b w:val="0"/>
                <w:bCs w:val="0"/>
                <w:sz w:val="21"/>
                <w:szCs w:val="21"/>
                <w:highlight w:val="none"/>
                <w:lang w:val="en-US" w:eastAsia="zh-CN"/>
              </w:rPr>
              <w:t>.供应商</w:t>
            </w:r>
            <w:r>
              <w:rPr>
                <w:rFonts w:hint="eastAsia" w:ascii="宋体" w:hAnsi="宋体" w:cs="宋体"/>
                <w:b w:val="0"/>
                <w:bCs w:val="0"/>
                <w:sz w:val="21"/>
                <w:szCs w:val="21"/>
                <w:highlight w:val="none"/>
                <w:lang w:eastAsia="zh-CN"/>
              </w:rPr>
              <w:t>具有有效期内的</w:t>
            </w:r>
            <w:r>
              <w:rPr>
                <w:rFonts w:hint="eastAsia" w:ascii="宋体" w:hAnsi="宋体" w:eastAsia="宋体" w:cs="宋体"/>
                <w:b w:val="0"/>
                <w:bCs w:val="0"/>
                <w:sz w:val="21"/>
                <w:szCs w:val="21"/>
                <w:highlight w:val="none"/>
                <w:lang w:eastAsia="zh-CN"/>
              </w:rPr>
              <w:t>AAA级企业信用等级证书的</w:t>
            </w:r>
            <w:r>
              <w:rPr>
                <w:rFonts w:hint="eastAsia" w:ascii="宋体" w:hAnsi="宋体" w:cs="宋体"/>
                <w:b w:val="0"/>
                <w:bCs w:val="0"/>
                <w:sz w:val="21"/>
                <w:szCs w:val="21"/>
                <w:highlight w:val="none"/>
                <w:lang w:eastAsia="zh-CN"/>
              </w:rPr>
              <w:t>，</w:t>
            </w:r>
            <w:r>
              <w:rPr>
                <w:rFonts w:hint="eastAsia" w:ascii="宋体" w:hAnsi="宋体" w:eastAsia="宋体" w:cs="宋体"/>
                <w:b w:val="0"/>
                <w:bCs w:val="0"/>
                <w:sz w:val="21"/>
                <w:szCs w:val="21"/>
                <w:highlight w:val="none"/>
                <w:lang w:eastAsia="zh-CN"/>
              </w:rPr>
              <w:t>得2分</w:t>
            </w:r>
            <w:r>
              <w:rPr>
                <w:rFonts w:hint="eastAsia" w:ascii="宋体" w:hAnsi="宋体" w:cs="宋体"/>
                <w:b w:val="0"/>
                <w:bCs w:val="0"/>
                <w:sz w:val="21"/>
                <w:szCs w:val="21"/>
                <w:highlight w:val="none"/>
                <w:lang w:eastAsia="zh-CN"/>
              </w:rPr>
              <w:t>；</w:t>
            </w:r>
          </w:p>
          <w:p w14:paraId="65C9E39F">
            <w:pPr>
              <w:keepNext w:val="0"/>
              <w:keepLines w:val="0"/>
              <w:pageBreakBefore w:val="0"/>
              <w:widowControl w:val="0"/>
              <w:kinsoku/>
              <w:wordWrap/>
              <w:overflowPunct/>
              <w:topLinePunct w:val="0"/>
              <w:autoSpaceDE/>
              <w:autoSpaceDN/>
              <w:bidi w:val="0"/>
              <w:adjustRightInd w:val="0"/>
              <w:snapToGrid w:val="0"/>
              <w:spacing w:line="399" w:lineRule="auto"/>
              <w:ind w:right="-38" w:firstLine="210" w:firstLineChars="100"/>
              <w:jc w:val="both"/>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2</w:t>
            </w:r>
            <w:r>
              <w:rPr>
                <w:rFonts w:hint="eastAsia" w:ascii="宋体" w:hAnsi="宋体" w:cs="宋体"/>
                <w:b w:val="0"/>
                <w:bCs w:val="0"/>
                <w:sz w:val="21"/>
                <w:szCs w:val="21"/>
                <w:highlight w:val="none"/>
                <w:lang w:val="en-US" w:eastAsia="zh-CN"/>
              </w:rPr>
              <w:t>.</w:t>
            </w:r>
            <w:r>
              <w:rPr>
                <w:rFonts w:hint="eastAsia" w:ascii="宋体" w:hAnsi="宋体" w:cs="宋体"/>
                <w:b w:val="0"/>
                <w:bCs w:val="0"/>
                <w:sz w:val="21"/>
                <w:szCs w:val="21"/>
                <w:highlight w:val="none"/>
                <w:lang w:eastAsia="zh-CN"/>
              </w:rPr>
              <w:t>供应商具有</w:t>
            </w:r>
            <w:r>
              <w:rPr>
                <w:rFonts w:hint="eastAsia" w:ascii="宋体" w:hAnsi="宋体" w:eastAsia="宋体" w:cs="宋体"/>
                <w:b w:val="0"/>
                <w:bCs w:val="0"/>
                <w:sz w:val="21"/>
                <w:szCs w:val="21"/>
                <w:highlight w:val="none"/>
                <w:lang w:eastAsia="zh-CN"/>
              </w:rPr>
              <w:t>有效期内的ISO 9001质量管理体系认证证书的</w:t>
            </w:r>
            <w:r>
              <w:rPr>
                <w:rFonts w:hint="eastAsia" w:ascii="宋体" w:hAnsi="宋体" w:cs="宋体"/>
                <w:b w:val="0"/>
                <w:bCs w:val="0"/>
                <w:sz w:val="21"/>
                <w:szCs w:val="21"/>
                <w:highlight w:val="none"/>
                <w:lang w:eastAsia="zh-CN"/>
              </w:rPr>
              <w:t>，</w:t>
            </w:r>
            <w:r>
              <w:rPr>
                <w:rFonts w:hint="eastAsia" w:ascii="宋体" w:hAnsi="宋体" w:eastAsia="宋体" w:cs="宋体"/>
                <w:b w:val="0"/>
                <w:bCs w:val="0"/>
                <w:sz w:val="21"/>
                <w:szCs w:val="21"/>
                <w:highlight w:val="none"/>
                <w:lang w:eastAsia="zh-CN"/>
              </w:rPr>
              <w:t>得2分</w:t>
            </w:r>
            <w:r>
              <w:rPr>
                <w:rFonts w:hint="eastAsia" w:ascii="宋体" w:hAnsi="宋体" w:cs="宋体"/>
                <w:b w:val="0"/>
                <w:bCs w:val="0"/>
                <w:sz w:val="21"/>
                <w:szCs w:val="21"/>
                <w:highlight w:val="none"/>
                <w:lang w:eastAsia="zh-CN"/>
              </w:rPr>
              <w:t>；</w:t>
            </w:r>
            <w:r>
              <w:rPr>
                <w:rFonts w:hint="eastAsia" w:ascii="宋体" w:hAnsi="宋体" w:eastAsia="宋体" w:cs="宋体"/>
                <w:b w:val="0"/>
                <w:bCs w:val="0"/>
                <w:sz w:val="21"/>
                <w:szCs w:val="21"/>
                <w:highlight w:val="none"/>
                <w:lang w:eastAsia="zh-CN"/>
              </w:rPr>
              <w:t xml:space="preserve"> </w:t>
            </w:r>
          </w:p>
          <w:p w14:paraId="6B2BCA53">
            <w:pPr>
              <w:keepNext w:val="0"/>
              <w:keepLines w:val="0"/>
              <w:pageBreakBefore w:val="0"/>
              <w:widowControl w:val="0"/>
              <w:kinsoku/>
              <w:wordWrap/>
              <w:overflowPunct/>
              <w:topLinePunct w:val="0"/>
              <w:autoSpaceDE/>
              <w:autoSpaceDN/>
              <w:bidi w:val="0"/>
              <w:adjustRightInd w:val="0"/>
              <w:snapToGrid w:val="0"/>
              <w:spacing w:line="399" w:lineRule="auto"/>
              <w:ind w:right="-38" w:firstLine="210" w:firstLineChars="100"/>
              <w:jc w:val="both"/>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3</w:t>
            </w:r>
            <w:r>
              <w:rPr>
                <w:rFonts w:hint="eastAsia" w:ascii="宋体" w:hAnsi="宋体" w:cs="宋体"/>
                <w:b w:val="0"/>
                <w:bCs w:val="0"/>
                <w:sz w:val="21"/>
                <w:szCs w:val="21"/>
                <w:highlight w:val="none"/>
                <w:lang w:val="en-US" w:eastAsia="zh-CN"/>
              </w:rPr>
              <w:t>.供应商具有有效期内的</w:t>
            </w:r>
            <w:r>
              <w:rPr>
                <w:rFonts w:hint="eastAsia" w:ascii="宋体" w:hAnsi="宋体" w:eastAsia="宋体" w:cs="宋体"/>
                <w:b w:val="0"/>
                <w:bCs w:val="0"/>
                <w:sz w:val="21"/>
                <w:szCs w:val="21"/>
                <w:highlight w:val="none"/>
                <w:lang w:eastAsia="zh-CN"/>
              </w:rPr>
              <w:t>高新技术企业认证证书的</w:t>
            </w:r>
            <w:r>
              <w:rPr>
                <w:rFonts w:hint="eastAsia" w:ascii="宋体" w:hAnsi="宋体" w:cs="宋体"/>
                <w:b w:val="0"/>
                <w:bCs w:val="0"/>
                <w:sz w:val="21"/>
                <w:szCs w:val="21"/>
                <w:highlight w:val="none"/>
                <w:lang w:eastAsia="zh-CN"/>
              </w:rPr>
              <w:t>，</w:t>
            </w:r>
            <w:r>
              <w:rPr>
                <w:rFonts w:hint="eastAsia" w:ascii="宋体" w:hAnsi="宋体" w:eastAsia="宋体" w:cs="宋体"/>
                <w:b w:val="0"/>
                <w:bCs w:val="0"/>
                <w:sz w:val="21"/>
                <w:szCs w:val="21"/>
                <w:highlight w:val="none"/>
                <w:lang w:eastAsia="zh-CN"/>
              </w:rPr>
              <w:t>得2分</w:t>
            </w:r>
            <w:r>
              <w:rPr>
                <w:rFonts w:hint="eastAsia" w:ascii="宋体" w:hAnsi="宋体" w:cs="宋体"/>
                <w:b w:val="0"/>
                <w:bCs w:val="0"/>
                <w:sz w:val="21"/>
                <w:szCs w:val="21"/>
                <w:highlight w:val="none"/>
                <w:lang w:eastAsia="zh-CN"/>
              </w:rPr>
              <w:t>；</w:t>
            </w:r>
            <w:r>
              <w:rPr>
                <w:rFonts w:hint="eastAsia" w:ascii="宋体" w:hAnsi="宋体" w:eastAsia="宋体" w:cs="宋体"/>
                <w:b w:val="0"/>
                <w:bCs w:val="0"/>
                <w:sz w:val="21"/>
                <w:szCs w:val="21"/>
                <w:highlight w:val="none"/>
                <w:lang w:eastAsia="zh-CN"/>
              </w:rPr>
              <w:t xml:space="preserve"> </w:t>
            </w:r>
          </w:p>
          <w:p w14:paraId="3F72E494">
            <w:pPr>
              <w:keepNext w:val="0"/>
              <w:keepLines w:val="0"/>
              <w:pageBreakBefore w:val="0"/>
              <w:widowControl w:val="0"/>
              <w:kinsoku/>
              <w:wordWrap/>
              <w:overflowPunct/>
              <w:topLinePunct w:val="0"/>
              <w:autoSpaceDE/>
              <w:autoSpaceDN/>
              <w:bidi w:val="0"/>
              <w:adjustRightInd w:val="0"/>
              <w:snapToGrid w:val="0"/>
              <w:spacing w:line="399" w:lineRule="auto"/>
              <w:ind w:right="-38" w:firstLine="210" w:firstLineChars="100"/>
              <w:jc w:val="both"/>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4</w:t>
            </w:r>
            <w:r>
              <w:rPr>
                <w:rFonts w:hint="eastAsia" w:ascii="宋体" w:hAnsi="宋体" w:cs="宋体"/>
                <w:b w:val="0"/>
                <w:bCs w:val="0"/>
                <w:sz w:val="21"/>
                <w:szCs w:val="21"/>
                <w:highlight w:val="none"/>
                <w:lang w:val="en-US" w:eastAsia="zh-CN"/>
              </w:rPr>
              <w:t>.</w:t>
            </w:r>
            <w:r>
              <w:rPr>
                <w:rFonts w:hint="eastAsia" w:ascii="宋体" w:hAnsi="宋体" w:cs="宋体"/>
                <w:b w:val="0"/>
                <w:bCs w:val="0"/>
                <w:sz w:val="21"/>
                <w:szCs w:val="21"/>
                <w:highlight w:val="none"/>
                <w:lang w:eastAsia="zh-CN"/>
              </w:rPr>
              <w:t>供应商具有有效期内的</w:t>
            </w:r>
            <w:r>
              <w:rPr>
                <w:rFonts w:hint="eastAsia" w:ascii="宋体" w:hAnsi="宋体" w:eastAsia="宋体" w:cs="宋体"/>
                <w:b w:val="0"/>
                <w:bCs w:val="0"/>
                <w:sz w:val="21"/>
                <w:szCs w:val="21"/>
                <w:highlight w:val="none"/>
                <w:lang w:eastAsia="zh-CN"/>
              </w:rPr>
              <w:t>中华人民共和国电信与信息服务业务经营许可证</w:t>
            </w:r>
            <w:r>
              <w:rPr>
                <w:rFonts w:hint="eastAsia" w:ascii="宋体" w:hAnsi="宋体" w:cs="宋体"/>
                <w:b w:val="0"/>
                <w:bCs w:val="0"/>
                <w:sz w:val="21"/>
                <w:szCs w:val="21"/>
                <w:highlight w:val="none"/>
                <w:lang w:eastAsia="zh-CN"/>
              </w:rPr>
              <w:t>的，</w:t>
            </w:r>
            <w:r>
              <w:rPr>
                <w:rFonts w:hint="eastAsia" w:ascii="宋体" w:hAnsi="宋体" w:eastAsia="宋体" w:cs="宋体"/>
                <w:b w:val="0"/>
                <w:bCs w:val="0"/>
                <w:sz w:val="21"/>
                <w:szCs w:val="21"/>
                <w:highlight w:val="none"/>
                <w:lang w:eastAsia="zh-CN"/>
              </w:rPr>
              <w:t>得2分；</w:t>
            </w:r>
          </w:p>
          <w:p w14:paraId="2DD736FA">
            <w:pPr>
              <w:keepNext w:val="0"/>
              <w:keepLines w:val="0"/>
              <w:pageBreakBefore w:val="0"/>
              <w:widowControl w:val="0"/>
              <w:kinsoku/>
              <w:wordWrap/>
              <w:overflowPunct/>
              <w:topLinePunct w:val="0"/>
              <w:autoSpaceDE/>
              <w:autoSpaceDN/>
              <w:bidi w:val="0"/>
              <w:adjustRightInd w:val="0"/>
              <w:snapToGrid w:val="0"/>
              <w:spacing w:line="399" w:lineRule="auto"/>
              <w:ind w:right="-38" w:firstLine="210" w:firstLineChars="100"/>
              <w:jc w:val="both"/>
              <w:textAlignment w:val="auto"/>
              <w:rPr>
                <w:rFonts w:hint="eastAsia" w:ascii="宋体" w:hAnsi="宋体" w:eastAsia="宋体" w:cs="宋体"/>
                <w:b/>
                <w:bCs/>
                <w:i w:val="0"/>
                <w:iCs w:val="0"/>
                <w:color w:val="auto"/>
                <w:sz w:val="21"/>
                <w:szCs w:val="21"/>
                <w:highlight w:val="none"/>
              </w:rPr>
            </w:pPr>
            <w:r>
              <w:rPr>
                <w:rFonts w:hint="eastAsia" w:ascii="宋体" w:hAnsi="宋体" w:eastAsia="宋体" w:cs="宋体"/>
                <w:b w:val="0"/>
                <w:bCs w:val="0"/>
                <w:sz w:val="21"/>
                <w:szCs w:val="21"/>
                <w:highlight w:val="none"/>
                <w:lang w:val="en-US" w:eastAsia="zh-CN"/>
              </w:rPr>
              <w:t>本项满分8分。</w:t>
            </w:r>
            <w:r>
              <w:rPr>
                <w:rFonts w:hint="eastAsia" w:ascii="宋体" w:hAnsi="宋体" w:eastAsia="宋体" w:cs="宋体"/>
                <w:b w:val="0"/>
                <w:bCs w:val="0"/>
                <w:kern w:val="2"/>
                <w:sz w:val="21"/>
                <w:szCs w:val="21"/>
                <w:highlight w:val="none"/>
                <w:lang w:val="en-US" w:eastAsia="zh-CN" w:bidi="ar-SA"/>
              </w:rPr>
              <w:br w:type="textWrapping"/>
            </w:r>
            <w:r>
              <w:rPr>
                <w:rFonts w:hint="eastAsia" w:ascii="宋体" w:hAnsi="宋体" w:eastAsia="宋体" w:cs="宋体"/>
                <w:b/>
                <w:bCs/>
                <w:i w:val="0"/>
                <w:iCs w:val="0"/>
                <w:color w:val="auto"/>
                <w:sz w:val="21"/>
                <w:szCs w:val="21"/>
                <w:highlight w:val="none"/>
                <w:shd w:val="clear" w:color="auto" w:fill="auto"/>
              </w:rPr>
              <w:t>注：响应文件中须提供</w:t>
            </w:r>
            <w:r>
              <w:rPr>
                <w:rFonts w:hint="eastAsia" w:ascii="宋体" w:hAnsi="宋体" w:cs="宋体"/>
                <w:b/>
                <w:bCs/>
                <w:i w:val="0"/>
                <w:iCs w:val="0"/>
                <w:color w:val="auto"/>
                <w:sz w:val="21"/>
                <w:szCs w:val="21"/>
                <w:highlight w:val="none"/>
                <w:shd w:val="clear" w:color="auto" w:fill="auto"/>
                <w:lang w:eastAsia="zh-CN"/>
              </w:rPr>
              <w:t>上述</w:t>
            </w:r>
            <w:r>
              <w:rPr>
                <w:rFonts w:hint="eastAsia" w:ascii="宋体" w:hAnsi="宋体" w:eastAsia="宋体" w:cs="宋体"/>
                <w:b/>
                <w:bCs/>
                <w:i w:val="0"/>
                <w:iCs w:val="0"/>
                <w:color w:val="auto"/>
                <w:sz w:val="21"/>
                <w:szCs w:val="21"/>
                <w:highlight w:val="none"/>
                <w:shd w:val="clear" w:color="auto" w:fill="auto"/>
              </w:rPr>
              <w:t>证书扫描件或影印件，未提供不得分。</w:t>
            </w:r>
          </w:p>
        </w:tc>
      </w:tr>
      <w:tr w14:paraId="5061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2179" w:type="dxa"/>
            <w:tcBorders>
              <w:left w:val="single" w:color="auto" w:sz="4" w:space="0"/>
              <w:bottom w:val="single" w:color="auto" w:sz="4" w:space="0"/>
              <w:right w:val="single" w:color="auto" w:sz="4" w:space="0"/>
            </w:tcBorders>
            <w:vAlign w:val="center"/>
          </w:tcPr>
          <w:p w14:paraId="6D382331">
            <w:pPr>
              <w:keepNext w:val="0"/>
              <w:keepLines w:val="0"/>
              <w:pageBreakBefore w:val="0"/>
              <w:widowControl w:val="0"/>
              <w:kinsoku/>
              <w:wordWrap/>
              <w:overflowPunct/>
              <w:topLinePunct w:val="0"/>
              <w:autoSpaceDE/>
              <w:autoSpaceDN/>
              <w:bidi w:val="0"/>
              <w:adjustRightInd w:val="0"/>
              <w:snapToGrid w:val="0"/>
              <w:spacing w:line="399" w:lineRule="auto"/>
              <w:ind w:left="-35" w:right="-38"/>
              <w:jc w:val="center"/>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奖项</w:t>
            </w:r>
          </w:p>
          <w:p w14:paraId="55C03F7C">
            <w:pPr>
              <w:keepNext w:val="0"/>
              <w:keepLines w:val="0"/>
              <w:pageBreakBefore w:val="0"/>
              <w:widowControl w:val="0"/>
              <w:kinsoku/>
              <w:wordWrap/>
              <w:overflowPunct/>
              <w:topLinePunct w:val="0"/>
              <w:autoSpaceDE/>
              <w:autoSpaceDN/>
              <w:bidi w:val="0"/>
              <w:adjustRightInd w:val="0"/>
              <w:snapToGrid w:val="0"/>
              <w:spacing w:line="399" w:lineRule="auto"/>
              <w:ind w:left="-35" w:right="-38"/>
              <w:jc w:val="center"/>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（满分5分）</w:t>
            </w:r>
          </w:p>
        </w:tc>
        <w:tc>
          <w:tcPr>
            <w:tcW w:w="7739" w:type="dxa"/>
            <w:tcBorders>
              <w:top w:val="single" w:color="auto" w:sz="4" w:space="0"/>
              <w:left w:val="single" w:color="auto" w:sz="4" w:space="0"/>
              <w:bottom w:val="single" w:color="auto" w:sz="4" w:space="0"/>
              <w:right w:val="single" w:color="auto" w:sz="4" w:space="0"/>
            </w:tcBorders>
            <w:vAlign w:val="center"/>
          </w:tcPr>
          <w:p w14:paraId="1EA29264">
            <w:pPr>
              <w:keepNext w:val="0"/>
              <w:keepLines w:val="0"/>
              <w:pageBreakBefore w:val="0"/>
              <w:widowControl w:val="0"/>
              <w:numPr>
                <w:ilvl w:val="0"/>
                <w:numId w:val="0"/>
              </w:numPr>
              <w:kinsoku/>
              <w:wordWrap/>
              <w:overflowPunct/>
              <w:topLinePunct w:val="0"/>
              <w:autoSpaceDE/>
              <w:autoSpaceDN/>
              <w:bidi w:val="0"/>
              <w:adjustRightInd w:val="0"/>
              <w:snapToGrid w:val="0"/>
              <w:spacing w:line="399" w:lineRule="auto"/>
              <w:ind w:right="-38" w:rightChars="0"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供应商自2021年1月1日至今（以颁发日期为准），获得过教育部颁发的优秀成果奖，一等奖得 5 分；二等奖得3 分；三等奖得 1分。</w:t>
            </w:r>
          </w:p>
          <w:p w14:paraId="77FD1A18">
            <w:pPr>
              <w:keepNext w:val="0"/>
              <w:keepLines w:val="0"/>
              <w:pageBreakBefore w:val="0"/>
              <w:widowControl w:val="0"/>
              <w:kinsoku/>
              <w:wordWrap/>
              <w:overflowPunct/>
              <w:topLinePunct w:val="0"/>
              <w:autoSpaceDE/>
              <w:autoSpaceDN/>
              <w:bidi w:val="0"/>
              <w:adjustRightInd w:val="0"/>
              <w:snapToGrid w:val="0"/>
              <w:spacing w:line="399" w:lineRule="auto"/>
              <w:ind w:right="-38"/>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bCs/>
                <w:sz w:val="21"/>
                <w:szCs w:val="21"/>
                <w:highlight w:val="none"/>
                <w:lang w:val="en-US" w:eastAsia="zh-CN"/>
              </w:rPr>
              <w:t>注：响应文件中须提供上述相关获奖证书扫描件或影印件，未提供不得分。</w:t>
            </w:r>
          </w:p>
        </w:tc>
      </w:tr>
      <w:tr w14:paraId="60B9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2179" w:type="dxa"/>
            <w:tcBorders>
              <w:left w:val="single" w:color="auto" w:sz="4" w:space="0"/>
              <w:bottom w:val="single" w:color="auto" w:sz="4" w:space="0"/>
              <w:right w:val="single" w:color="auto" w:sz="4" w:space="0"/>
            </w:tcBorders>
            <w:vAlign w:val="center"/>
          </w:tcPr>
          <w:p w14:paraId="792F066D">
            <w:pPr>
              <w:keepNext w:val="0"/>
              <w:keepLines w:val="0"/>
              <w:pageBreakBefore w:val="0"/>
              <w:widowControl w:val="0"/>
              <w:kinsoku/>
              <w:wordWrap/>
              <w:overflowPunct/>
              <w:topLinePunct w:val="0"/>
              <w:autoSpaceDE/>
              <w:autoSpaceDN/>
              <w:bidi w:val="0"/>
              <w:adjustRightInd w:val="0"/>
              <w:snapToGrid w:val="0"/>
              <w:spacing w:line="399" w:lineRule="auto"/>
              <w:ind w:left="-35" w:right="-38"/>
              <w:jc w:val="center"/>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原厂家开发支撑实力（满分6分）</w:t>
            </w:r>
          </w:p>
        </w:tc>
        <w:tc>
          <w:tcPr>
            <w:tcW w:w="7739" w:type="dxa"/>
            <w:tcBorders>
              <w:top w:val="single" w:color="auto" w:sz="4" w:space="0"/>
              <w:left w:val="single" w:color="auto" w:sz="4" w:space="0"/>
              <w:bottom w:val="single" w:color="auto" w:sz="4" w:space="0"/>
              <w:right w:val="single" w:color="auto" w:sz="4" w:space="0"/>
            </w:tcBorders>
            <w:vAlign w:val="top"/>
          </w:tcPr>
          <w:p w14:paraId="79599222">
            <w:pPr>
              <w:keepNext w:val="0"/>
              <w:keepLines w:val="0"/>
              <w:pageBreakBefore w:val="0"/>
              <w:widowControl w:val="0"/>
              <w:numPr>
                <w:ilvl w:val="0"/>
                <w:numId w:val="0"/>
              </w:numPr>
              <w:kinsoku/>
              <w:wordWrap/>
              <w:overflowPunct/>
              <w:topLinePunct w:val="0"/>
              <w:autoSpaceDE/>
              <w:autoSpaceDN/>
              <w:bidi w:val="0"/>
              <w:adjustRightInd w:val="0"/>
              <w:snapToGrid w:val="0"/>
              <w:spacing w:line="399" w:lineRule="auto"/>
              <w:ind w:right="-38" w:rightChars="0"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1．厂家参与过制定信息技术、教育相关国家标准，提供全国标准信息公共服务平台网址以及截图证明的，得3分，未提供不得分；</w:t>
            </w:r>
          </w:p>
          <w:p w14:paraId="4B15A89D">
            <w:pPr>
              <w:keepNext w:val="0"/>
              <w:keepLines w:val="0"/>
              <w:pageBreakBefore w:val="0"/>
              <w:widowControl w:val="0"/>
              <w:numPr>
                <w:ilvl w:val="0"/>
                <w:numId w:val="0"/>
              </w:numPr>
              <w:kinsoku/>
              <w:wordWrap/>
              <w:overflowPunct/>
              <w:topLinePunct w:val="0"/>
              <w:autoSpaceDE/>
              <w:autoSpaceDN/>
              <w:bidi w:val="0"/>
              <w:adjustRightInd w:val="0"/>
              <w:snapToGrid w:val="0"/>
              <w:spacing w:line="399" w:lineRule="auto"/>
              <w:ind w:right="-38" w:rightChars="0"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2．厂家具备关于在线学习相关的专利技术，提供有效期内专利证书扫描件或影印件的，得3分，未提供不得分。</w:t>
            </w:r>
          </w:p>
          <w:p w14:paraId="52D1380A">
            <w:pPr>
              <w:keepNext w:val="0"/>
              <w:keepLines w:val="0"/>
              <w:pageBreakBefore w:val="0"/>
              <w:widowControl w:val="0"/>
              <w:numPr>
                <w:ilvl w:val="0"/>
                <w:numId w:val="0"/>
              </w:numPr>
              <w:kinsoku/>
              <w:wordWrap/>
              <w:overflowPunct/>
              <w:topLinePunct w:val="0"/>
              <w:autoSpaceDE/>
              <w:autoSpaceDN/>
              <w:bidi w:val="0"/>
              <w:adjustRightInd w:val="0"/>
              <w:snapToGrid w:val="0"/>
              <w:spacing w:line="399" w:lineRule="auto"/>
              <w:ind w:right="-38" w:rightChars="0" w:firstLine="420" w:firstLineChars="200"/>
              <w:jc w:val="both"/>
              <w:textAlignment w:val="auto"/>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本项满分6分。</w:t>
            </w:r>
          </w:p>
          <w:p w14:paraId="22F780A1">
            <w:pPr>
              <w:keepNext w:val="0"/>
              <w:keepLines w:val="0"/>
              <w:pageBreakBefore w:val="0"/>
              <w:widowControl w:val="0"/>
              <w:numPr>
                <w:ilvl w:val="0"/>
                <w:numId w:val="0"/>
              </w:numPr>
              <w:kinsoku/>
              <w:wordWrap/>
              <w:overflowPunct/>
              <w:topLinePunct w:val="0"/>
              <w:autoSpaceDE/>
              <w:autoSpaceDN/>
              <w:bidi w:val="0"/>
              <w:adjustRightInd w:val="0"/>
              <w:snapToGrid w:val="0"/>
              <w:spacing w:line="399" w:lineRule="auto"/>
              <w:ind w:right="-38" w:rightChars="0"/>
              <w:jc w:val="both"/>
              <w:textAlignment w:val="auto"/>
              <w:rPr>
                <w:rFonts w:hint="eastAsia"/>
                <w:lang w:val="en-US" w:eastAsia="zh-CN"/>
              </w:rPr>
            </w:pPr>
            <w:r>
              <w:rPr>
                <w:rFonts w:hint="eastAsia" w:ascii="宋体" w:hAnsi="宋体" w:eastAsia="宋体" w:cs="宋体"/>
                <w:b/>
                <w:bCs/>
                <w:sz w:val="21"/>
                <w:szCs w:val="21"/>
                <w:highlight w:val="none"/>
                <w:lang w:val="en-US" w:eastAsia="zh-CN"/>
              </w:rPr>
              <w:t>注：响应文件中须提供上述相关证明材料，未提供不得分。</w:t>
            </w:r>
          </w:p>
        </w:tc>
      </w:tr>
      <w:tr w14:paraId="6B77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2179" w:type="dxa"/>
            <w:tcBorders>
              <w:left w:val="single" w:color="auto" w:sz="4" w:space="0"/>
              <w:bottom w:val="single" w:color="auto" w:sz="4" w:space="0"/>
              <w:right w:val="single" w:color="auto" w:sz="4" w:space="0"/>
            </w:tcBorders>
            <w:vAlign w:val="center"/>
          </w:tcPr>
          <w:p w14:paraId="2507DEFE">
            <w:pPr>
              <w:keepNext w:val="0"/>
              <w:keepLines w:val="0"/>
              <w:pageBreakBefore w:val="0"/>
              <w:widowControl w:val="0"/>
              <w:kinsoku/>
              <w:wordWrap/>
              <w:overflowPunct/>
              <w:topLinePunct w:val="0"/>
              <w:autoSpaceDE/>
              <w:autoSpaceDN/>
              <w:bidi w:val="0"/>
              <w:adjustRightInd w:val="0"/>
              <w:snapToGrid w:val="0"/>
              <w:spacing w:line="399" w:lineRule="auto"/>
              <w:ind w:left="-35" w:right="-38"/>
              <w:jc w:val="center"/>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国际化合作实力</w:t>
            </w:r>
          </w:p>
          <w:p w14:paraId="552C7D87">
            <w:pPr>
              <w:keepNext w:val="0"/>
              <w:keepLines w:val="0"/>
              <w:pageBreakBefore w:val="0"/>
              <w:widowControl w:val="0"/>
              <w:kinsoku/>
              <w:wordWrap/>
              <w:overflowPunct/>
              <w:topLinePunct w:val="0"/>
              <w:autoSpaceDE/>
              <w:autoSpaceDN/>
              <w:bidi w:val="0"/>
              <w:adjustRightInd w:val="0"/>
              <w:snapToGrid w:val="0"/>
              <w:spacing w:line="399" w:lineRule="auto"/>
              <w:ind w:left="-35" w:right="-38"/>
              <w:jc w:val="center"/>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（满分17分）</w:t>
            </w:r>
          </w:p>
        </w:tc>
        <w:tc>
          <w:tcPr>
            <w:tcW w:w="7739" w:type="dxa"/>
            <w:tcBorders>
              <w:top w:val="single" w:color="auto" w:sz="4" w:space="0"/>
              <w:left w:val="single" w:color="auto" w:sz="4" w:space="0"/>
              <w:bottom w:val="single" w:color="auto" w:sz="4" w:space="0"/>
              <w:right w:val="single" w:color="auto" w:sz="4" w:space="0"/>
            </w:tcBorders>
            <w:vAlign w:val="top"/>
          </w:tcPr>
          <w:p w14:paraId="1BBDE961">
            <w:pPr>
              <w:keepNext w:val="0"/>
              <w:keepLines w:val="0"/>
              <w:pageBreakBefore w:val="0"/>
              <w:widowControl w:val="0"/>
              <w:numPr>
                <w:ilvl w:val="0"/>
                <w:numId w:val="0"/>
              </w:numPr>
              <w:kinsoku/>
              <w:wordWrap/>
              <w:overflowPunct/>
              <w:topLinePunct w:val="0"/>
              <w:autoSpaceDE/>
              <w:autoSpaceDN/>
              <w:bidi w:val="0"/>
              <w:adjustRightInd w:val="0"/>
              <w:snapToGrid w:val="0"/>
              <w:spacing w:line="399" w:lineRule="auto"/>
              <w:ind w:right="-38" w:rightChars="0" w:firstLine="210" w:firstLineChars="1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根据安徽省地方特色高水平大学建设标准（修订）基本内容中明确要求提高国际合作和开放办学水平。故对供应商的国际化服务能力提出以下要求： </w:t>
            </w:r>
          </w:p>
          <w:p w14:paraId="674E78DE">
            <w:pPr>
              <w:keepNext w:val="0"/>
              <w:keepLines w:val="0"/>
              <w:pageBreakBefore w:val="0"/>
              <w:widowControl w:val="0"/>
              <w:numPr>
                <w:ilvl w:val="0"/>
                <w:numId w:val="0"/>
              </w:numPr>
              <w:kinsoku/>
              <w:wordWrap/>
              <w:overflowPunct/>
              <w:topLinePunct w:val="0"/>
              <w:autoSpaceDE/>
              <w:autoSpaceDN/>
              <w:bidi w:val="0"/>
              <w:adjustRightInd w:val="0"/>
              <w:snapToGrid w:val="0"/>
              <w:spacing w:line="399" w:lineRule="auto"/>
              <w:ind w:right="-38" w:rightChars="0" w:firstLine="210" w:firstLineChars="1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1.系统具有提供对接国外优质慕课资源的能力，提供来自 edx 或 coursera 或 udacity 等的海外知名大学开设的课程，30门以上得10分，25-30门得7分，20-25 门得5分，10-15门得3分，10-1门以下得1分，满分10分。</w:t>
            </w:r>
            <w:r>
              <w:rPr>
                <w:rFonts w:hint="eastAsia" w:ascii="宋体" w:hAnsi="宋体" w:eastAsia="宋体" w:cs="宋体"/>
                <w:b/>
                <w:bCs/>
                <w:sz w:val="21"/>
                <w:szCs w:val="21"/>
                <w:highlight w:val="none"/>
                <w:lang w:val="en-US" w:eastAsia="zh-CN"/>
              </w:rPr>
              <w:t xml:space="preserve">（注：响应文件中须提供相关证明清单及证明文件，未提供不得分。） </w:t>
            </w:r>
          </w:p>
          <w:p w14:paraId="76CB7115">
            <w:pPr>
              <w:keepNext w:val="0"/>
              <w:keepLines w:val="0"/>
              <w:pageBreakBefore w:val="0"/>
              <w:widowControl w:val="0"/>
              <w:numPr>
                <w:ilvl w:val="0"/>
                <w:numId w:val="0"/>
              </w:numPr>
              <w:kinsoku/>
              <w:wordWrap/>
              <w:overflowPunct/>
              <w:topLinePunct w:val="0"/>
              <w:autoSpaceDE/>
              <w:autoSpaceDN/>
              <w:bidi w:val="0"/>
              <w:adjustRightInd w:val="0"/>
              <w:snapToGrid w:val="0"/>
              <w:spacing w:line="399" w:lineRule="auto"/>
              <w:ind w:right="-38" w:rightChars="0" w:firstLine="210" w:firstLineChars="100"/>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val="0"/>
                <w:bCs w:val="0"/>
                <w:sz w:val="21"/>
                <w:szCs w:val="21"/>
                <w:highlight w:val="none"/>
                <w:lang w:val="en-US" w:eastAsia="zh-CN"/>
              </w:rPr>
              <w:t>2.国际课程合作：与国外一流大学或平台有 MOOC 资源合作，每提供一分合作协议或备忘录得2分，满分4分。</w:t>
            </w:r>
            <w:r>
              <w:rPr>
                <w:rFonts w:hint="eastAsia" w:ascii="宋体" w:hAnsi="宋体" w:eastAsia="宋体" w:cs="宋体"/>
                <w:b/>
                <w:bCs/>
                <w:sz w:val="21"/>
                <w:szCs w:val="21"/>
                <w:highlight w:val="none"/>
                <w:lang w:val="en-US" w:eastAsia="zh-CN"/>
              </w:rPr>
              <w:t xml:space="preserve">（注：响应文件中须提供相关合作协议或备忘录证明文件，未提供不得分。） </w:t>
            </w:r>
          </w:p>
          <w:p w14:paraId="55DE73C0">
            <w:pPr>
              <w:keepNext w:val="0"/>
              <w:keepLines w:val="0"/>
              <w:pageBreakBefore w:val="0"/>
              <w:widowControl w:val="0"/>
              <w:numPr>
                <w:ilvl w:val="0"/>
                <w:numId w:val="0"/>
              </w:numPr>
              <w:kinsoku/>
              <w:wordWrap/>
              <w:overflowPunct/>
              <w:topLinePunct w:val="0"/>
              <w:autoSpaceDE/>
              <w:autoSpaceDN/>
              <w:bidi w:val="0"/>
              <w:adjustRightInd w:val="0"/>
              <w:snapToGrid w:val="0"/>
              <w:spacing w:line="399" w:lineRule="auto"/>
              <w:ind w:right="-38" w:rightChars="0" w:firstLine="210" w:firstLineChars="100"/>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val="0"/>
                <w:bCs w:val="0"/>
                <w:sz w:val="21"/>
                <w:szCs w:val="21"/>
                <w:highlight w:val="none"/>
                <w:lang w:val="en-US" w:eastAsia="zh-CN"/>
              </w:rPr>
              <w:t>3.有直接推广课程至国际慕课平台（例如：EDX 或Coursera 或 Udacity 或 FUN）的能力，得 3分，满分3分。</w:t>
            </w:r>
            <w:r>
              <w:rPr>
                <w:rFonts w:hint="eastAsia" w:ascii="宋体" w:hAnsi="宋体" w:eastAsia="宋体" w:cs="宋体"/>
                <w:b/>
                <w:bCs/>
                <w:sz w:val="21"/>
                <w:szCs w:val="21"/>
                <w:highlight w:val="none"/>
                <w:lang w:val="en-US" w:eastAsia="zh-CN"/>
              </w:rPr>
              <w:t>（注：响应文件中须提供相关证明文件，未提供不得分。）</w:t>
            </w:r>
          </w:p>
        </w:tc>
      </w:tr>
      <w:tr w14:paraId="1544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9" w:type="dxa"/>
            <w:vAlign w:val="center"/>
          </w:tcPr>
          <w:p w14:paraId="649F49E6">
            <w:pPr>
              <w:keepNext w:val="0"/>
              <w:keepLines w:val="0"/>
              <w:pageBreakBefore w:val="0"/>
              <w:widowControl w:val="0"/>
              <w:kinsoku/>
              <w:wordWrap/>
              <w:overflowPunct/>
              <w:topLinePunct w:val="0"/>
              <w:autoSpaceDE/>
              <w:autoSpaceDN/>
              <w:bidi w:val="0"/>
              <w:spacing w:line="399" w:lineRule="auto"/>
              <w:jc w:val="center"/>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cs="宋体"/>
                <w:b w:val="0"/>
                <w:bCs w:val="0"/>
                <w:sz w:val="21"/>
                <w:szCs w:val="21"/>
                <w:highlight w:val="none"/>
                <w:lang w:val="en-US" w:eastAsia="zh-CN"/>
              </w:rPr>
              <w:t>采购需求</w:t>
            </w:r>
            <w:r>
              <w:rPr>
                <w:rFonts w:hint="eastAsia" w:ascii="宋体" w:hAnsi="宋体" w:eastAsia="宋体" w:cs="宋体"/>
                <w:b w:val="0"/>
                <w:bCs w:val="0"/>
                <w:sz w:val="21"/>
                <w:szCs w:val="21"/>
                <w:highlight w:val="none"/>
                <w:lang w:val="en-US" w:eastAsia="zh-CN"/>
              </w:rPr>
              <w:t xml:space="preserve">要求响应          </w:t>
            </w:r>
            <w:r>
              <w:rPr>
                <w:rFonts w:hint="eastAsia" w:ascii="宋体" w:hAnsi="宋体" w:eastAsia="宋体" w:cs="宋体"/>
                <w:b w:val="0"/>
                <w:bCs w:val="0"/>
                <w:sz w:val="21"/>
                <w:szCs w:val="21"/>
                <w:highlight w:val="none"/>
                <w:lang w:eastAsia="zh-CN"/>
              </w:rPr>
              <w:t>（满分</w:t>
            </w:r>
            <w:r>
              <w:rPr>
                <w:rFonts w:hint="eastAsia" w:ascii="宋体" w:hAnsi="宋体" w:cs="宋体"/>
                <w:b w:val="0"/>
                <w:bCs w:val="0"/>
                <w:sz w:val="21"/>
                <w:szCs w:val="21"/>
                <w:highlight w:val="none"/>
                <w:lang w:val="en-US" w:eastAsia="zh-CN"/>
              </w:rPr>
              <w:t>30</w:t>
            </w:r>
            <w:r>
              <w:rPr>
                <w:rFonts w:hint="eastAsia" w:ascii="宋体" w:hAnsi="宋体" w:eastAsia="宋体" w:cs="宋体"/>
                <w:b w:val="0"/>
                <w:bCs w:val="0"/>
                <w:sz w:val="21"/>
                <w:szCs w:val="21"/>
                <w:highlight w:val="none"/>
                <w:lang w:val="en-US" w:eastAsia="zh-CN"/>
              </w:rPr>
              <w:t>分</w:t>
            </w:r>
            <w:r>
              <w:rPr>
                <w:rFonts w:hint="eastAsia" w:ascii="宋体" w:hAnsi="宋体" w:eastAsia="宋体" w:cs="宋体"/>
                <w:b w:val="0"/>
                <w:bCs w:val="0"/>
                <w:sz w:val="21"/>
                <w:szCs w:val="21"/>
                <w:highlight w:val="none"/>
                <w:lang w:eastAsia="zh-CN"/>
              </w:rPr>
              <w:t>）</w:t>
            </w:r>
          </w:p>
        </w:tc>
        <w:tc>
          <w:tcPr>
            <w:tcW w:w="7739" w:type="dxa"/>
            <w:vAlign w:val="center"/>
          </w:tcPr>
          <w:p w14:paraId="3F43CA4F">
            <w:pPr>
              <w:keepNext w:val="0"/>
              <w:keepLines w:val="0"/>
              <w:pageBreakBefore w:val="0"/>
              <w:widowControl w:val="0"/>
              <w:kinsoku/>
              <w:wordWrap/>
              <w:overflowPunct/>
              <w:topLinePunct w:val="0"/>
              <w:autoSpaceDE/>
              <w:autoSpaceDN/>
              <w:bidi w:val="0"/>
              <w:spacing w:before="91" w:line="399" w:lineRule="auto"/>
              <w:ind w:left="107" w:right="73" w:firstLine="420" w:firstLineChars="200"/>
              <w:jc w:val="both"/>
              <w:textAlignment w:val="auto"/>
              <w:rPr>
                <w:rFonts w:hint="eastAsia" w:ascii="宋体" w:hAnsi="宋体" w:eastAsia="宋体" w:cs="宋体"/>
                <w:kern w:val="2"/>
                <w:sz w:val="21"/>
                <w:szCs w:val="21"/>
                <w:lang w:val="en-US" w:eastAsia="zh-CN" w:bidi="zh-CN"/>
              </w:rPr>
            </w:pPr>
            <w:r>
              <w:rPr>
                <w:rFonts w:hint="eastAsia" w:ascii="宋体" w:hAnsi="宋体" w:cs="宋体"/>
                <w:kern w:val="2"/>
                <w:sz w:val="21"/>
                <w:szCs w:val="21"/>
                <w:lang w:val="en-US" w:eastAsia="zh-CN" w:bidi="zh-CN"/>
              </w:rPr>
              <w:t>根据磋商文件中采购需求</w:t>
            </w:r>
            <w:r>
              <w:rPr>
                <w:rFonts w:hint="eastAsia" w:ascii="宋体" w:hAnsi="宋体" w:eastAsia="宋体" w:cs="宋体"/>
                <w:kern w:val="2"/>
                <w:sz w:val="21"/>
                <w:szCs w:val="21"/>
                <w:lang w:val="en-US" w:eastAsia="zh-CN" w:bidi="zh-CN"/>
              </w:rPr>
              <w:t>的响应情况。所有项无偏离得30分，其中“★”负偏离一项扣2分，“非★” 负偏离一项扣1分，扣完为止</w:t>
            </w:r>
            <w:r>
              <w:rPr>
                <w:rFonts w:hint="eastAsia" w:ascii="宋体" w:hAnsi="宋体" w:cs="宋体"/>
                <w:kern w:val="2"/>
                <w:sz w:val="21"/>
                <w:szCs w:val="21"/>
                <w:lang w:val="en-US" w:eastAsia="zh-CN" w:bidi="zh-CN"/>
              </w:rPr>
              <w:t>。</w:t>
            </w:r>
          </w:p>
          <w:p w14:paraId="4DD645CC">
            <w:pPr>
              <w:keepNext w:val="0"/>
              <w:keepLines w:val="0"/>
              <w:pageBreakBefore w:val="0"/>
              <w:widowControl w:val="0"/>
              <w:kinsoku/>
              <w:wordWrap/>
              <w:overflowPunct/>
              <w:topLinePunct w:val="0"/>
              <w:autoSpaceDE/>
              <w:autoSpaceDN/>
              <w:bidi w:val="0"/>
              <w:adjustRightInd/>
              <w:snapToGrid/>
              <w:spacing w:line="399" w:lineRule="auto"/>
              <w:ind w:firstLine="422" w:firstLineChars="200"/>
              <w:textAlignment w:val="auto"/>
              <w:rPr>
                <w:rFonts w:hint="eastAsia" w:eastAsia="宋体"/>
                <w:b w:val="0"/>
                <w:bCs w:val="0"/>
                <w:highlight w:val="none"/>
                <w:lang w:val="en-US" w:eastAsia="zh-CN"/>
              </w:rPr>
            </w:pPr>
            <w:r>
              <w:rPr>
                <w:rFonts w:hint="eastAsia" w:ascii="宋体" w:hAnsi="宋体" w:eastAsia="宋体" w:cs="宋体"/>
                <w:b/>
                <w:bCs/>
                <w:color w:val="000000"/>
                <w:kern w:val="0"/>
                <w:sz w:val="21"/>
                <w:szCs w:val="21"/>
                <w:highlight w:val="none"/>
                <w:lang w:val="en-US" w:eastAsia="zh-CN" w:bidi="ar"/>
              </w:rPr>
              <w:t>注：以“第四章 采购需求”中“</w:t>
            </w:r>
            <w:r>
              <w:rPr>
                <w:rFonts w:hint="eastAsia" w:ascii="宋体" w:hAnsi="宋体" w:cs="宋体"/>
                <w:b/>
                <w:bCs/>
                <w:color w:val="000000"/>
                <w:kern w:val="0"/>
                <w:sz w:val="21"/>
                <w:szCs w:val="21"/>
                <w:highlight w:val="none"/>
                <w:lang w:val="en-US" w:eastAsia="zh-CN" w:bidi="ar"/>
              </w:rPr>
              <w:t>二、服务要求与内容</w:t>
            </w:r>
            <w:r>
              <w:rPr>
                <w:rFonts w:hint="eastAsia" w:ascii="宋体" w:hAnsi="宋体" w:eastAsia="宋体" w:cs="宋体"/>
                <w:b/>
                <w:bCs/>
                <w:color w:val="000000"/>
                <w:kern w:val="0"/>
                <w:sz w:val="21"/>
                <w:szCs w:val="21"/>
                <w:highlight w:val="none"/>
                <w:lang w:val="en-US" w:eastAsia="zh-CN" w:bidi="ar"/>
              </w:rPr>
              <w:t>”所要求的参数规格等作为评审依据。</w:t>
            </w:r>
          </w:p>
        </w:tc>
      </w:tr>
      <w:tr w14:paraId="29FA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2179" w:type="dxa"/>
            <w:vAlign w:val="center"/>
          </w:tcPr>
          <w:p w14:paraId="5F501F6F">
            <w:pPr>
              <w:keepNext w:val="0"/>
              <w:keepLines w:val="0"/>
              <w:pageBreakBefore w:val="0"/>
              <w:widowControl w:val="0"/>
              <w:kinsoku/>
              <w:wordWrap/>
              <w:overflowPunct/>
              <w:topLinePunct w:val="0"/>
              <w:autoSpaceDE/>
              <w:autoSpaceDN/>
              <w:bidi w:val="0"/>
              <w:spacing w:line="399"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系统应用培训课程 </w:t>
            </w:r>
          </w:p>
          <w:p w14:paraId="29BC6AAB">
            <w:pPr>
              <w:keepNext w:val="0"/>
              <w:keepLines w:val="0"/>
              <w:pageBreakBefore w:val="0"/>
              <w:widowControl w:val="0"/>
              <w:kinsoku/>
              <w:wordWrap/>
              <w:overflowPunct/>
              <w:topLinePunct w:val="0"/>
              <w:autoSpaceDE/>
              <w:autoSpaceDN/>
              <w:bidi w:val="0"/>
              <w:spacing w:line="399"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（满分6分）</w:t>
            </w:r>
          </w:p>
        </w:tc>
        <w:tc>
          <w:tcPr>
            <w:tcW w:w="7739" w:type="dxa"/>
            <w:vAlign w:val="center"/>
          </w:tcPr>
          <w:p w14:paraId="7CE59A75">
            <w:pPr>
              <w:keepNext w:val="0"/>
              <w:keepLines w:val="0"/>
              <w:pageBreakBefore w:val="0"/>
              <w:widowControl w:val="0"/>
              <w:kinsoku/>
              <w:wordWrap/>
              <w:overflowPunct/>
              <w:topLinePunct w:val="0"/>
              <w:autoSpaceDE/>
              <w:autoSpaceDN/>
              <w:bidi w:val="0"/>
              <w:spacing w:line="399" w:lineRule="auto"/>
              <w:ind w:firstLine="420"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 xml:space="preserve">供应商须提供以下在自主知识产权平台上运行的课程资源，辅助教师更好的理解和应用系统，每提供1门有效课程资源的，得3分，满分6分： </w:t>
            </w:r>
          </w:p>
          <w:p w14:paraId="66DC350E">
            <w:pPr>
              <w:keepNext w:val="0"/>
              <w:keepLines w:val="0"/>
              <w:pageBreakBefore w:val="0"/>
              <w:widowControl w:val="0"/>
              <w:numPr>
                <w:ilvl w:val="0"/>
                <w:numId w:val="0"/>
              </w:numPr>
              <w:kinsoku/>
              <w:wordWrap/>
              <w:overflowPunct/>
              <w:topLinePunct w:val="0"/>
              <w:autoSpaceDE/>
              <w:autoSpaceDN/>
              <w:bidi w:val="0"/>
              <w:spacing w:line="399" w:lineRule="auto"/>
              <w:ind w:firstLine="420"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kern w:val="2"/>
                <w:sz w:val="21"/>
                <w:lang w:val="en-US" w:eastAsia="zh-CN" w:bidi="ar-SA"/>
              </w:rPr>
              <w:t>1.</w:t>
            </w:r>
            <w:r>
              <w:rPr>
                <w:rFonts w:hint="eastAsia" w:ascii="宋体" w:hAnsi="宋体" w:eastAsia="宋体" w:cs="宋体"/>
                <w:b w:val="0"/>
                <w:bCs w:val="0"/>
                <w:highlight w:val="none"/>
                <w:lang w:val="en-US" w:eastAsia="zh-CN"/>
              </w:rPr>
              <w:t>提供一门辅助教师了解在线教育理论结合案例《在线教育概论》类别的课程资源；</w:t>
            </w:r>
          </w:p>
          <w:p w14:paraId="2E8EC211">
            <w:pPr>
              <w:keepNext w:val="0"/>
              <w:keepLines w:val="0"/>
              <w:pageBreakBefore w:val="0"/>
              <w:widowControl w:val="0"/>
              <w:numPr>
                <w:ilvl w:val="0"/>
                <w:numId w:val="0"/>
              </w:numPr>
              <w:kinsoku/>
              <w:wordWrap/>
              <w:overflowPunct/>
              <w:topLinePunct w:val="0"/>
              <w:autoSpaceDE/>
              <w:autoSpaceDN/>
              <w:bidi w:val="0"/>
              <w:spacing w:line="399" w:lineRule="auto"/>
              <w:ind w:firstLine="422"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bCs/>
                <w:highlight w:val="none"/>
                <w:lang w:val="en-US" w:eastAsia="zh-CN"/>
              </w:rPr>
              <w:t>课程内容：</w:t>
            </w:r>
            <w:r>
              <w:rPr>
                <w:rFonts w:hint="eastAsia" w:ascii="宋体" w:hAnsi="宋体" w:eastAsia="宋体" w:cs="宋体"/>
                <w:b w:val="0"/>
                <w:bCs w:val="0"/>
                <w:highlight w:val="none"/>
                <w:lang w:val="en-US" w:eastAsia="zh-CN"/>
              </w:rPr>
              <w:t>从宏观和前瞻的角度全面解读在线教育：为什么要做在线教育、详解高校在线教育的现状和未来，通过优秀一线教师的实际教学案例分享在线教育实践与经验。</w:t>
            </w:r>
          </w:p>
          <w:p w14:paraId="221860B0">
            <w:pPr>
              <w:keepNext w:val="0"/>
              <w:keepLines w:val="0"/>
              <w:pageBreakBefore w:val="0"/>
              <w:widowControl w:val="0"/>
              <w:kinsoku/>
              <w:wordWrap/>
              <w:overflowPunct/>
              <w:topLinePunct w:val="0"/>
              <w:autoSpaceDE/>
              <w:autoSpaceDN/>
              <w:bidi w:val="0"/>
              <w:spacing w:line="399" w:lineRule="auto"/>
              <w:ind w:firstLine="422"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bCs/>
                <w:highlight w:val="none"/>
                <w:lang w:val="en-US" w:eastAsia="zh-CN"/>
              </w:rPr>
              <w:t>课程总时长：</w:t>
            </w:r>
            <w:r>
              <w:rPr>
                <w:rFonts w:hint="eastAsia" w:ascii="宋体" w:hAnsi="宋体" w:eastAsia="宋体" w:cs="宋体"/>
                <w:b w:val="0"/>
                <w:bCs w:val="0"/>
                <w:highlight w:val="none"/>
                <w:lang w:val="en-US" w:eastAsia="zh-CN"/>
              </w:rPr>
              <w:t xml:space="preserve">不低于4.5 小时。 </w:t>
            </w:r>
          </w:p>
          <w:p w14:paraId="17217642">
            <w:pPr>
              <w:keepNext w:val="0"/>
              <w:keepLines w:val="0"/>
              <w:pageBreakBefore w:val="0"/>
              <w:widowControl w:val="0"/>
              <w:kinsoku/>
              <w:wordWrap/>
              <w:overflowPunct/>
              <w:topLinePunct w:val="0"/>
              <w:autoSpaceDE/>
              <w:autoSpaceDN/>
              <w:bidi w:val="0"/>
              <w:spacing w:line="399" w:lineRule="auto"/>
              <w:ind w:firstLine="420"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 xml:space="preserve">2.提供一门辅助教师了解混合式教学的应用《混合式教学》类别的课程资源； </w:t>
            </w:r>
          </w:p>
          <w:p w14:paraId="3F9A17BB">
            <w:pPr>
              <w:keepNext w:val="0"/>
              <w:keepLines w:val="0"/>
              <w:pageBreakBefore w:val="0"/>
              <w:widowControl w:val="0"/>
              <w:kinsoku/>
              <w:wordWrap/>
              <w:overflowPunct/>
              <w:topLinePunct w:val="0"/>
              <w:autoSpaceDE/>
              <w:autoSpaceDN/>
              <w:bidi w:val="0"/>
              <w:spacing w:line="399" w:lineRule="auto"/>
              <w:ind w:firstLine="422"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bCs/>
                <w:highlight w:val="none"/>
                <w:lang w:val="en-US" w:eastAsia="zh-CN"/>
              </w:rPr>
              <w:t>课程内容：</w:t>
            </w:r>
            <w:r>
              <w:rPr>
                <w:rFonts w:hint="eastAsia" w:ascii="宋体" w:hAnsi="宋体" w:eastAsia="宋体" w:cs="宋体"/>
                <w:b w:val="0"/>
                <w:bCs w:val="0"/>
                <w:highlight w:val="none"/>
                <w:lang w:val="en-US" w:eastAsia="zh-CN"/>
              </w:rPr>
              <w:t xml:space="preserve">从混合式教学设计出发，如何规划线上、线下教学安28排、如何设计线下教学环节。通过各专业学科特点的混合式教学改革实践案例，分享混合式教学经验。 </w:t>
            </w:r>
          </w:p>
          <w:p w14:paraId="0818E23D">
            <w:pPr>
              <w:keepNext w:val="0"/>
              <w:keepLines w:val="0"/>
              <w:pageBreakBefore w:val="0"/>
              <w:widowControl w:val="0"/>
              <w:kinsoku/>
              <w:wordWrap/>
              <w:overflowPunct/>
              <w:topLinePunct w:val="0"/>
              <w:autoSpaceDE/>
              <w:autoSpaceDN/>
              <w:bidi w:val="0"/>
              <w:spacing w:line="399" w:lineRule="auto"/>
              <w:ind w:firstLine="422"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bCs/>
                <w:highlight w:val="none"/>
                <w:lang w:val="en-US" w:eastAsia="zh-CN"/>
              </w:rPr>
              <w:t>课程时长：</w:t>
            </w:r>
            <w:r>
              <w:rPr>
                <w:rFonts w:hint="eastAsia" w:ascii="宋体" w:hAnsi="宋体" w:eastAsia="宋体" w:cs="宋体"/>
                <w:b w:val="0"/>
                <w:bCs w:val="0"/>
                <w:highlight w:val="none"/>
                <w:lang w:val="en-US" w:eastAsia="zh-CN"/>
              </w:rPr>
              <w:t xml:space="preserve">不低于 8.5 小时。 </w:t>
            </w:r>
          </w:p>
          <w:p w14:paraId="249F9532">
            <w:pPr>
              <w:keepNext w:val="0"/>
              <w:keepLines w:val="0"/>
              <w:pageBreakBefore w:val="0"/>
              <w:widowControl w:val="0"/>
              <w:kinsoku/>
              <w:wordWrap/>
              <w:overflowPunct/>
              <w:topLinePunct w:val="0"/>
              <w:autoSpaceDE/>
              <w:autoSpaceDN/>
              <w:bidi w:val="0"/>
              <w:spacing w:line="399" w:lineRule="auto"/>
              <w:ind w:firstLine="422"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注：以上两门课程资源供应商每有效提供一门课程得3分，满分6分。</w:t>
            </w:r>
          </w:p>
          <w:p w14:paraId="0D65DDA3">
            <w:pPr>
              <w:keepNext w:val="0"/>
              <w:keepLines w:val="0"/>
              <w:pageBreakBefore w:val="0"/>
              <w:widowControl w:val="0"/>
              <w:kinsoku/>
              <w:wordWrap/>
              <w:overflowPunct/>
              <w:topLinePunct w:val="0"/>
              <w:autoSpaceDE/>
              <w:autoSpaceDN/>
              <w:bidi w:val="0"/>
              <w:spacing w:line="399" w:lineRule="auto"/>
              <w:ind w:firstLine="422" w:firstLineChars="200"/>
              <w:textAlignment w:val="auto"/>
              <w:rPr>
                <w:rFonts w:hint="eastAsia"/>
                <w:lang w:eastAsia="zh-CN"/>
              </w:rPr>
            </w:pPr>
            <w:r>
              <w:rPr>
                <w:rFonts w:hint="eastAsia" w:ascii="宋体" w:hAnsi="宋体" w:eastAsia="宋体" w:cs="宋体"/>
                <w:b/>
                <w:bCs/>
                <w:highlight w:val="none"/>
                <w:lang w:val="en-US" w:eastAsia="zh-CN"/>
              </w:rPr>
              <w:t>响应文件中须提供符合上述要求的课程链接，课程大纲、课程教师团队等截图，并承诺提供的课程不存在版权纠纷，未提供不得分。</w:t>
            </w:r>
          </w:p>
        </w:tc>
      </w:tr>
      <w:tr w14:paraId="6CC5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1" w:hRule="atLeast"/>
          <w:jc w:val="center"/>
        </w:trPr>
        <w:tc>
          <w:tcPr>
            <w:tcW w:w="2179" w:type="dxa"/>
            <w:vAlign w:val="center"/>
          </w:tcPr>
          <w:p w14:paraId="501E3BE5">
            <w:pPr>
              <w:keepNext w:val="0"/>
              <w:keepLines w:val="0"/>
              <w:pageBreakBefore w:val="0"/>
              <w:widowControl w:val="0"/>
              <w:kinsoku/>
              <w:wordWrap/>
              <w:overflowPunct/>
              <w:topLinePunct w:val="0"/>
              <w:autoSpaceDE/>
              <w:autoSpaceDN/>
              <w:bidi w:val="0"/>
              <w:adjustRightInd w:val="0"/>
              <w:snapToGrid w:val="0"/>
              <w:spacing w:line="360" w:lineRule="auto"/>
              <w:ind w:left="-35" w:right="-38"/>
              <w:jc w:val="center"/>
              <w:textAlignment w:val="auto"/>
              <w:rPr>
                <w:rFonts w:hint="eastAsia" w:ascii="宋体" w:hAnsi="宋体" w:eastAsia="宋体" w:cs="宋体"/>
                <w:szCs w:val="21"/>
                <w:highlight w:val="none"/>
                <w:lang w:eastAsia="zh-CN"/>
              </w:rPr>
            </w:pPr>
            <w:r>
              <w:rPr>
                <w:rFonts w:hint="eastAsia" w:ascii="宋体" w:hAnsi="宋体" w:cs="宋体"/>
                <w:szCs w:val="21"/>
                <w:highlight w:val="none"/>
                <w:lang w:val="en-US" w:eastAsia="zh-CN"/>
              </w:rPr>
              <w:t xml:space="preserve">服务方案及承诺              </w:t>
            </w:r>
            <w:r>
              <w:rPr>
                <w:rFonts w:hint="eastAsia" w:ascii="宋体" w:hAnsi="宋体" w:cs="宋体"/>
                <w:szCs w:val="21"/>
                <w:highlight w:val="none"/>
                <w:lang w:eastAsia="zh-CN"/>
              </w:rPr>
              <w:t>（</w:t>
            </w:r>
            <w:r>
              <w:rPr>
                <w:rFonts w:hint="eastAsia" w:ascii="宋体" w:hAnsi="宋体" w:cs="宋体"/>
                <w:szCs w:val="21"/>
                <w:highlight w:val="none"/>
              </w:rPr>
              <w:t>满分</w:t>
            </w:r>
            <w:r>
              <w:rPr>
                <w:rFonts w:hint="eastAsia" w:ascii="宋体" w:hAnsi="宋体" w:cs="宋体"/>
                <w:szCs w:val="21"/>
                <w:highlight w:val="none"/>
                <w:lang w:val="en-US" w:eastAsia="zh-CN"/>
              </w:rPr>
              <w:t>9</w:t>
            </w:r>
            <w:r>
              <w:rPr>
                <w:rFonts w:hint="eastAsia" w:ascii="宋体" w:hAnsi="宋体" w:cs="宋体"/>
                <w:szCs w:val="21"/>
                <w:highlight w:val="none"/>
              </w:rPr>
              <w:t>分）</w:t>
            </w:r>
          </w:p>
        </w:tc>
        <w:tc>
          <w:tcPr>
            <w:tcW w:w="7739" w:type="dxa"/>
            <w:vAlign w:val="center"/>
          </w:tcPr>
          <w:p w14:paraId="4BFA4EA8">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Times New Roman" w:hAnsi="Times New Roman" w:eastAsia="宋体" w:cs="Times New Roman"/>
                <w:b w:val="0"/>
                <w:bCs w:val="0"/>
                <w:highlight w:val="none"/>
                <w:lang w:eastAsia="zh-CN"/>
              </w:rPr>
            </w:pPr>
            <w:r>
              <w:rPr>
                <w:rFonts w:hint="eastAsia" w:ascii="Times New Roman" w:hAnsi="Times New Roman" w:eastAsia="宋体" w:cs="Times New Roman"/>
                <w:b w:val="0"/>
                <w:bCs w:val="0"/>
                <w:highlight w:val="none"/>
                <w:lang w:eastAsia="zh-CN"/>
              </w:rPr>
              <w:t>根据供应商响应文件中针对本项目提供服务能力和服务承诺方案综合打分，本项满分</w:t>
            </w:r>
            <w:r>
              <w:rPr>
                <w:rFonts w:hint="eastAsia" w:ascii="Times New Roman" w:hAnsi="Times New Roman" w:eastAsia="宋体" w:cs="Times New Roman"/>
                <w:b w:val="0"/>
                <w:bCs w:val="0"/>
                <w:highlight w:val="none"/>
                <w:lang w:val="en-US" w:eastAsia="zh-CN"/>
              </w:rPr>
              <w:t>9分</w:t>
            </w:r>
            <w:r>
              <w:rPr>
                <w:rFonts w:hint="eastAsia" w:ascii="Times New Roman" w:hAnsi="Times New Roman" w:eastAsia="宋体" w:cs="Times New Roman"/>
                <w:b w:val="0"/>
                <w:bCs w:val="0"/>
                <w:highlight w:val="none"/>
                <w:lang w:eastAsia="zh-CN"/>
              </w:rPr>
              <w:t>：</w:t>
            </w:r>
          </w:p>
          <w:p w14:paraId="250944A1">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Times New Roman" w:hAnsi="Times New Roman" w:eastAsia="宋体" w:cs="Times New Roman"/>
                <w:b w:val="0"/>
                <w:bCs w:val="0"/>
                <w:highlight w:val="none"/>
                <w:lang w:eastAsia="zh-CN"/>
              </w:rPr>
            </w:pPr>
            <w:r>
              <w:rPr>
                <w:rFonts w:hint="eastAsia" w:ascii="Times New Roman" w:hAnsi="Times New Roman" w:eastAsia="宋体" w:cs="Times New Roman"/>
                <w:b w:val="0"/>
                <w:bCs w:val="0"/>
                <w:highlight w:val="none"/>
                <w:lang w:val="en-US" w:eastAsia="zh-CN"/>
              </w:rPr>
              <w:t>1.</w:t>
            </w:r>
            <w:r>
              <w:rPr>
                <w:rFonts w:hint="eastAsia" w:ascii="Times New Roman" w:hAnsi="Times New Roman" w:eastAsia="宋体" w:cs="Times New Roman"/>
                <w:b w:val="0"/>
                <w:bCs w:val="0"/>
                <w:highlight w:val="none"/>
                <w:lang w:eastAsia="zh-CN"/>
              </w:rPr>
              <w:t>供应商具备完备的服务体系，培训方案及计划合理，售后服务文档完整，满足采购人的各项维护时限要求，后期服务针对本项目有专项售后队伍，</w:t>
            </w:r>
            <w:r>
              <w:rPr>
                <w:rFonts w:hint="eastAsia" w:ascii="Times New Roman" w:hAnsi="Times New Roman" w:eastAsia="宋体" w:cs="Times New Roman"/>
                <w:b/>
                <w:bCs/>
                <w:highlight w:val="none"/>
                <w:lang w:eastAsia="zh-CN"/>
              </w:rPr>
              <w:t>售后服务人数不少于5人</w:t>
            </w:r>
            <w:r>
              <w:rPr>
                <w:rFonts w:hint="eastAsia" w:ascii="Times New Roman" w:hAnsi="Times New Roman" w:eastAsia="宋体" w:cs="Times New Roman"/>
                <w:b w:val="0"/>
                <w:bCs w:val="0"/>
                <w:highlight w:val="none"/>
                <w:lang w:eastAsia="zh-CN"/>
              </w:rPr>
              <w:t>，突发状况应对预案合理, 得</w:t>
            </w:r>
            <w:r>
              <w:rPr>
                <w:rFonts w:hint="eastAsia" w:ascii="Times New Roman" w:hAnsi="Times New Roman" w:eastAsia="宋体" w:cs="Times New Roman"/>
                <w:b w:val="0"/>
                <w:bCs w:val="0"/>
                <w:highlight w:val="none"/>
                <w:lang w:val="en-US" w:eastAsia="zh-CN"/>
              </w:rPr>
              <w:t>9</w:t>
            </w:r>
            <w:r>
              <w:rPr>
                <w:rFonts w:hint="eastAsia" w:ascii="Times New Roman" w:hAnsi="Times New Roman" w:eastAsia="宋体" w:cs="Times New Roman"/>
                <w:b w:val="0"/>
                <w:bCs w:val="0"/>
                <w:highlight w:val="none"/>
                <w:lang w:eastAsia="zh-CN"/>
              </w:rPr>
              <w:t>分；</w:t>
            </w:r>
          </w:p>
          <w:p w14:paraId="3B140620">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Times New Roman" w:hAnsi="Times New Roman" w:eastAsia="宋体" w:cs="Times New Roman"/>
                <w:b w:val="0"/>
                <w:bCs w:val="0"/>
                <w:highlight w:val="none"/>
                <w:lang w:eastAsia="zh-CN"/>
              </w:rPr>
            </w:pPr>
            <w:r>
              <w:rPr>
                <w:rFonts w:hint="eastAsia" w:ascii="Times New Roman" w:hAnsi="Times New Roman" w:eastAsia="宋体" w:cs="Times New Roman"/>
                <w:b w:val="0"/>
                <w:bCs w:val="0"/>
                <w:highlight w:val="none"/>
                <w:lang w:val="en-US" w:eastAsia="zh-CN"/>
              </w:rPr>
              <w:t>2.供应商具备完备的服务体系，培训方案及计划较合理，售后服务文档较完整，满足采购人的各项维护时限要求，后期服务组织无针对性，</w:t>
            </w:r>
            <w:r>
              <w:rPr>
                <w:rFonts w:hint="eastAsia" w:ascii="Times New Roman" w:hAnsi="Times New Roman" w:eastAsia="宋体" w:cs="Times New Roman"/>
                <w:b/>
                <w:bCs/>
                <w:highlight w:val="none"/>
                <w:lang w:val="en-US" w:eastAsia="zh-CN"/>
              </w:rPr>
              <w:t>售后服务人数不少于3人</w:t>
            </w:r>
            <w:r>
              <w:rPr>
                <w:rFonts w:hint="eastAsia" w:ascii="Times New Roman" w:hAnsi="Times New Roman" w:eastAsia="宋体" w:cs="Times New Roman"/>
                <w:b w:val="0"/>
                <w:bCs w:val="0"/>
                <w:highlight w:val="none"/>
                <w:lang w:val="en-US" w:eastAsia="zh-CN"/>
              </w:rPr>
              <w:t>，突发状况应对预案较合理</w:t>
            </w:r>
            <w:r>
              <w:rPr>
                <w:rFonts w:hint="eastAsia" w:ascii="Times New Roman" w:hAnsi="Times New Roman" w:eastAsia="宋体" w:cs="Times New Roman"/>
                <w:b w:val="0"/>
                <w:bCs w:val="0"/>
                <w:highlight w:val="none"/>
                <w:lang w:eastAsia="zh-CN"/>
              </w:rPr>
              <w:t>，得</w:t>
            </w:r>
            <w:r>
              <w:rPr>
                <w:rFonts w:hint="eastAsia" w:ascii="Times New Roman" w:hAnsi="Times New Roman" w:eastAsia="宋体" w:cs="Times New Roman"/>
                <w:b w:val="0"/>
                <w:bCs w:val="0"/>
                <w:highlight w:val="none"/>
                <w:lang w:val="en-US" w:eastAsia="zh-CN"/>
              </w:rPr>
              <w:t>6</w:t>
            </w:r>
            <w:r>
              <w:rPr>
                <w:rFonts w:hint="eastAsia" w:ascii="Times New Roman" w:hAnsi="Times New Roman" w:eastAsia="宋体" w:cs="Times New Roman"/>
                <w:b w:val="0"/>
                <w:bCs w:val="0"/>
                <w:highlight w:val="none"/>
                <w:lang w:eastAsia="zh-CN"/>
              </w:rPr>
              <w:t>分；</w:t>
            </w:r>
          </w:p>
          <w:p w14:paraId="230850A6">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Times New Roman" w:hAnsi="Times New Roman" w:eastAsia="宋体" w:cs="Times New Roman"/>
                <w:b w:val="0"/>
                <w:bCs w:val="0"/>
                <w:highlight w:val="none"/>
                <w:lang w:eastAsia="zh-CN"/>
              </w:rPr>
            </w:pPr>
            <w:r>
              <w:rPr>
                <w:rFonts w:hint="eastAsia" w:ascii="Times New Roman" w:hAnsi="Times New Roman" w:eastAsia="宋体" w:cs="Times New Roman"/>
                <w:b w:val="0"/>
                <w:bCs w:val="0"/>
                <w:highlight w:val="none"/>
                <w:lang w:val="en-US" w:eastAsia="zh-CN"/>
              </w:rPr>
              <w:t>3.供应商具备服务体系，培训方案及计划不够合理，满足采购人的各项维护时限要求，后期服务组织无针对性，</w:t>
            </w:r>
            <w:r>
              <w:rPr>
                <w:rFonts w:hint="eastAsia" w:ascii="Times New Roman" w:hAnsi="Times New Roman" w:eastAsia="宋体" w:cs="Times New Roman"/>
                <w:b/>
                <w:bCs/>
                <w:highlight w:val="none"/>
                <w:lang w:val="en-US" w:eastAsia="zh-CN"/>
              </w:rPr>
              <w:t>售后服务人数不少于2人</w:t>
            </w:r>
            <w:r>
              <w:rPr>
                <w:rFonts w:hint="eastAsia" w:ascii="Times New Roman" w:hAnsi="Times New Roman" w:eastAsia="宋体" w:cs="Times New Roman"/>
                <w:b w:val="0"/>
                <w:bCs w:val="0"/>
                <w:highlight w:val="none"/>
                <w:lang w:val="en-US" w:eastAsia="zh-CN"/>
              </w:rPr>
              <w:t>，突发状况应对预案不合理</w:t>
            </w:r>
            <w:r>
              <w:rPr>
                <w:rFonts w:hint="eastAsia" w:ascii="Times New Roman" w:hAnsi="Times New Roman" w:eastAsia="宋体" w:cs="Times New Roman"/>
                <w:b w:val="0"/>
                <w:bCs w:val="0"/>
                <w:highlight w:val="none"/>
                <w:lang w:eastAsia="zh-CN"/>
              </w:rPr>
              <w:t>，得</w:t>
            </w:r>
            <w:r>
              <w:rPr>
                <w:rFonts w:hint="eastAsia" w:ascii="Times New Roman" w:hAnsi="Times New Roman" w:eastAsia="宋体" w:cs="Times New Roman"/>
                <w:b w:val="0"/>
                <w:bCs w:val="0"/>
                <w:highlight w:val="none"/>
                <w:lang w:val="en-US" w:eastAsia="zh-CN"/>
              </w:rPr>
              <w:t>2</w:t>
            </w:r>
            <w:r>
              <w:rPr>
                <w:rFonts w:hint="eastAsia" w:ascii="Times New Roman" w:hAnsi="Times New Roman" w:eastAsia="宋体" w:cs="Times New Roman"/>
                <w:b w:val="0"/>
                <w:bCs w:val="0"/>
                <w:highlight w:val="none"/>
                <w:lang w:eastAsia="zh-CN"/>
              </w:rPr>
              <w:t>分；</w:t>
            </w:r>
          </w:p>
          <w:p w14:paraId="579826BC">
            <w:pPr>
              <w:keepNext w:val="0"/>
              <w:keepLines w:val="0"/>
              <w:pageBreakBefore w:val="0"/>
              <w:widowControl w:val="0"/>
              <w:kinsoku/>
              <w:wordWrap/>
              <w:overflowPunct/>
              <w:topLinePunct w:val="0"/>
              <w:autoSpaceDE/>
              <w:autoSpaceDN/>
              <w:bidi w:val="0"/>
              <w:spacing w:line="360" w:lineRule="auto"/>
              <w:jc w:val="left"/>
              <w:textAlignment w:val="auto"/>
              <w:rPr>
                <w:rFonts w:hint="eastAsia" w:eastAsia="宋体"/>
                <w:highlight w:val="none"/>
                <w:lang w:eastAsia="zh-CN"/>
              </w:rPr>
            </w:pPr>
            <w:r>
              <w:rPr>
                <w:rFonts w:hint="eastAsia" w:ascii="Times New Roman" w:hAnsi="Times New Roman" w:eastAsia="宋体" w:cs="Times New Roman"/>
                <w:b w:val="0"/>
                <w:bCs w:val="0"/>
                <w:highlight w:val="none"/>
                <w:lang w:val="en-US" w:eastAsia="zh-CN"/>
              </w:rPr>
              <w:t xml:space="preserve">  4.</w:t>
            </w:r>
            <w:r>
              <w:rPr>
                <w:rFonts w:hint="eastAsia" w:ascii="Times New Roman" w:hAnsi="Times New Roman" w:eastAsia="宋体" w:cs="Times New Roman"/>
                <w:b w:val="0"/>
                <w:bCs w:val="0"/>
                <w:highlight w:val="none"/>
                <w:lang w:eastAsia="zh-CN"/>
              </w:rPr>
              <w:t xml:space="preserve">方案较差或未提供相关内容的不得分。 </w:t>
            </w:r>
          </w:p>
        </w:tc>
      </w:tr>
      <w:tr w14:paraId="4BA3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918" w:type="dxa"/>
            <w:gridSpan w:val="2"/>
            <w:tcBorders>
              <w:top w:val="single" w:color="auto" w:sz="4" w:space="0"/>
              <w:left w:val="single" w:color="auto" w:sz="4" w:space="0"/>
              <w:bottom w:val="single" w:color="auto" w:sz="4" w:space="0"/>
              <w:right w:val="single" w:color="auto" w:sz="4" w:space="0"/>
            </w:tcBorders>
            <w:vAlign w:val="center"/>
          </w:tcPr>
          <w:p w14:paraId="5095BF44">
            <w:pPr>
              <w:tabs>
                <w:tab w:val="left" w:pos="1077"/>
              </w:tabs>
              <w:adjustRightInd w:val="0"/>
              <w:snapToGrid w:val="0"/>
              <w:spacing w:line="360" w:lineRule="exact"/>
              <w:ind w:left="-35" w:right="-38" w:firstLine="211" w:firstLineChars="100"/>
              <w:rPr>
                <w:rFonts w:hint="eastAsia" w:eastAsia="宋体"/>
                <w:highlight w:val="none"/>
                <w:lang w:eastAsia="zh-CN"/>
              </w:rPr>
            </w:pPr>
            <w:r>
              <w:rPr>
                <w:rFonts w:hint="eastAsia"/>
                <w:b/>
                <w:bCs/>
                <w:highlight w:val="none"/>
                <w:lang w:eastAsia="zh-CN"/>
              </w:rPr>
              <w:t>商务部分（</w:t>
            </w:r>
            <w:r>
              <w:rPr>
                <w:rFonts w:hint="eastAsia"/>
                <w:b/>
                <w:bCs/>
                <w:highlight w:val="none"/>
                <w:lang w:val="en-US" w:eastAsia="zh-CN"/>
              </w:rPr>
              <w:t>10分</w:t>
            </w:r>
            <w:r>
              <w:rPr>
                <w:rFonts w:hint="eastAsia"/>
                <w:b/>
                <w:bCs/>
                <w:highlight w:val="none"/>
                <w:lang w:eastAsia="zh-CN"/>
              </w:rPr>
              <w:t>）</w:t>
            </w:r>
          </w:p>
        </w:tc>
      </w:tr>
      <w:tr w14:paraId="7564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jc w:val="center"/>
        </w:trPr>
        <w:tc>
          <w:tcPr>
            <w:tcW w:w="2179" w:type="dxa"/>
            <w:tcBorders>
              <w:top w:val="single" w:color="auto" w:sz="4" w:space="0"/>
              <w:left w:val="single" w:color="auto" w:sz="4" w:space="0"/>
              <w:bottom w:val="single" w:color="auto" w:sz="4" w:space="0"/>
              <w:right w:val="single" w:color="auto" w:sz="4" w:space="0"/>
            </w:tcBorders>
            <w:vAlign w:val="center"/>
          </w:tcPr>
          <w:p w14:paraId="0224A0FA">
            <w:pPr>
              <w:pStyle w:val="27"/>
              <w:ind w:left="0" w:leftChars="0" w:firstLine="0" w:firstLineChars="0"/>
              <w:jc w:val="center"/>
              <w:rPr>
                <w:highlight w:val="none"/>
              </w:rPr>
            </w:pPr>
            <w:r>
              <w:rPr>
                <w:rFonts w:hint="eastAsia" w:ascii="宋体" w:hAnsi="宋体" w:eastAsia="宋体" w:cs="宋体"/>
                <w:kern w:val="2"/>
                <w:sz w:val="21"/>
                <w:szCs w:val="22"/>
                <w:highlight w:val="none"/>
              </w:rPr>
              <w:t>报价（满分</w:t>
            </w:r>
            <w:r>
              <w:rPr>
                <w:rFonts w:hint="eastAsia" w:ascii="宋体" w:hAnsi="宋体" w:eastAsia="宋体" w:cs="宋体"/>
                <w:kern w:val="2"/>
                <w:sz w:val="21"/>
                <w:szCs w:val="22"/>
                <w:highlight w:val="none"/>
                <w:lang w:val="en-US" w:eastAsia="zh-CN"/>
              </w:rPr>
              <w:t>10</w:t>
            </w:r>
            <w:r>
              <w:rPr>
                <w:rFonts w:hint="eastAsia" w:ascii="宋体" w:hAnsi="宋体" w:eastAsia="宋体" w:cs="宋体"/>
                <w:color w:val="auto"/>
                <w:kern w:val="2"/>
                <w:sz w:val="21"/>
                <w:szCs w:val="22"/>
                <w:highlight w:val="none"/>
              </w:rPr>
              <w:t>分</w:t>
            </w:r>
            <w:r>
              <w:rPr>
                <w:rFonts w:hint="eastAsia" w:ascii="宋体" w:hAnsi="宋体" w:eastAsia="宋体" w:cs="宋体"/>
                <w:kern w:val="2"/>
                <w:sz w:val="21"/>
                <w:szCs w:val="22"/>
                <w:highlight w:val="none"/>
              </w:rPr>
              <w:t>）</w:t>
            </w:r>
          </w:p>
        </w:tc>
        <w:tc>
          <w:tcPr>
            <w:tcW w:w="7739" w:type="dxa"/>
            <w:tcBorders>
              <w:top w:val="single" w:color="auto" w:sz="4" w:space="0"/>
              <w:left w:val="single" w:color="auto" w:sz="4" w:space="0"/>
              <w:bottom w:val="single" w:color="auto" w:sz="4" w:space="0"/>
              <w:right w:val="single" w:color="auto" w:sz="4" w:space="0"/>
            </w:tcBorders>
            <w:vAlign w:val="center"/>
          </w:tcPr>
          <w:p w14:paraId="2D0B618B">
            <w:pPr>
              <w:tabs>
                <w:tab w:val="left" w:pos="1080"/>
              </w:tabs>
              <w:spacing w:line="360" w:lineRule="auto"/>
              <w:ind w:right="108" w:firstLine="21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价格分统一采用低价优先法，即满足</w:t>
            </w:r>
            <w:r>
              <w:rPr>
                <w:rFonts w:hint="eastAsia" w:cs="Times New Roman"/>
                <w:highlight w:val="none"/>
                <w:lang w:val="en-US" w:eastAsia="zh-CN"/>
              </w:rPr>
              <w:t>磋商文件</w:t>
            </w:r>
            <w:r>
              <w:rPr>
                <w:rFonts w:hint="eastAsia" w:ascii="Times New Roman" w:hAnsi="Times New Roman" w:cs="Times New Roman"/>
                <w:highlight w:val="none"/>
                <w:lang w:val="en-US" w:eastAsia="zh-CN"/>
              </w:rPr>
              <w:t>要求且</w:t>
            </w:r>
            <w:r>
              <w:rPr>
                <w:rFonts w:hint="eastAsia" w:ascii="Times New Roman" w:hAnsi="Times New Roman" w:cs="Times New Roman"/>
                <w:b/>
                <w:bCs/>
                <w:highlight w:val="none"/>
                <w:lang w:val="en-US" w:eastAsia="zh-CN"/>
              </w:rPr>
              <w:t>投标价格最低的投标报价</w:t>
            </w:r>
            <w:r>
              <w:rPr>
                <w:rFonts w:hint="eastAsia" w:ascii="Times New Roman" w:hAnsi="Times New Roman" w:cs="Times New Roman"/>
                <w:highlight w:val="none"/>
                <w:lang w:val="en-US" w:eastAsia="zh-CN"/>
              </w:rPr>
              <w:t>为评标基准价，其价格分为满分</w:t>
            </w:r>
            <w:r>
              <w:rPr>
                <w:rFonts w:hint="eastAsia" w:cs="Times New Roman"/>
                <w:highlight w:val="none"/>
                <w:lang w:val="en-US" w:eastAsia="zh-CN"/>
              </w:rPr>
              <w:t>10</w:t>
            </w:r>
            <w:r>
              <w:rPr>
                <w:rFonts w:hint="eastAsia" w:ascii="Times New Roman" w:hAnsi="Times New Roman" w:cs="Times New Roman"/>
                <w:highlight w:val="none"/>
                <w:lang w:val="en-US" w:eastAsia="zh-CN"/>
              </w:rPr>
              <w:t>分。其他投标供应商的价格分统一按照下列公式计算：</w:t>
            </w:r>
          </w:p>
          <w:p w14:paraId="25DA8C78">
            <w:pPr>
              <w:tabs>
                <w:tab w:val="left" w:pos="1080"/>
              </w:tabs>
              <w:spacing w:line="360" w:lineRule="auto"/>
              <w:ind w:right="108" w:firstLine="210"/>
              <w:rPr>
                <w:rFonts w:hint="default" w:ascii="Times New Roman" w:hAnsi="Times New Roman" w:cs="Times New Roman"/>
                <w:highlight w:val="none"/>
                <w:lang w:val="en-US"/>
              </w:rPr>
            </w:pPr>
            <w:r>
              <w:rPr>
                <w:rFonts w:hint="eastAsia" w:ascii="Times New Roman" w:hAnsi="Times New Roman" w:cs="Times New Roman"/>
                <w:highlight w:val="none"/>
                <w:lang w:val="en-US" w:eastAsia="zh-CN"/>
              </w:rPr>
              <w:t>投标报价得分＝（评标基准价/投标报价）×</w:t>
            </w:r>
            <w:r>
              <w:rPr>
                <w:rFonts w:hint="eastAsia" w:cs="Times New Roman"/>
                <w:highlight w:val="none"/>
                <w:lang w:val="en-US" w:eastAsia="zh-CN"/>
              </w:rPr>
              <w:t>10%</w:t>
            </w:r>
            <w:r>
              <w:rPr>
                <w:rFonts w:hint="eastAsia" w:ascii="Times New Roman" w:hAnsi="Times New Roman" w:cs="Times New Roman"/>
                <w:highlight w:val="none"/>
                <w:lang w:val="en-US" w:eastAsia="zh-CN"/>
              </w:rPr>
              <w:t>×</w:t>
            </w:r>
            <w:r>
              <w:rPr>
                <w:rFonts w:hint="eastAsia" w:cs="Times New Roman"/>
                <w:highlight w:val="none"/>
                <w:lang w:val="en-US" w:eastAsia="zh-CN"/>
              </w:rPr>
              <w:t>100（得分保留两位小数，第三位四舍五入）。</w:t>
            </w:r>
          </w:p>
          <w:p w14:paraId="2840609D">
            <w:pPr>
              <w:tabs>
                <w:tab w:val="left" w:pos="1077"/>
              </w:tabs>
              <w:adjustRightInd w:val="0"/>
              <w:snapToGrid w:val="0"/>
              <w:spacing w:line="360" w:lineRule="exact"/>
              <w:ind w:left="-35" w:right="-38" w:firstLine="210" w:firstLineChars="100"/>
              <w:rPr>
                <w:highlight w:val="none"/>
              </w:rPr>
            </w:pPr>
            <w:r>
              <w:rPr>
                <w:rFonts w:hint="eastAsia"/>
                <w:highlight w:val="none"/>
              </w:rPr>
              <w:t>本项分值由评标委员会负责组织计算。</w:t>
            </w:r>
          </w:p>
        </w:tc>
      </w:tr>
    </w:tbl>
    <w:p w14:paraId="79D7548D">
      <w:pPr>
        <w:spacing w:line="360" w:lineRule="auto"/>
        <w:ind w:right="-10"/>
        <w:rPr>
          <w:rFonts w:ascii="宋体" w:hAnsi="宋体" w:eastAsia="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14:textFill>
            <w14:solidFill>
              <w14:schemeClr w14:val="tx1"/>
            </w14:solidFill>
          </w14:textFill>
        </w:rPr>
        <w:t xml:space="preserve">三、评审结果 </w:t>
      </w:r>
    </w:p>
    <w:p w14:paraId="61A136E1">
      <w:pPr>
        <w:spacing w:line="360" w:lineRule="auto"/>
        <w:ind w:right="-10"/>
        <w:rPr>
          <w:rFonts w:ascii="宋体" w:hAnsi="宋体" w:eastAsia="宋体"/>
          <w:b/>
          <w:bCs/>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分值的确定方法：磋商小组评委分别对供应商各指标进行评分，取各位评委评分之平均值，四舍五入保留至小数点后两位数，得到该供应商该指标的得分，再将各指标项得分进行汇总，得到该供应商的综合总得分。</w:t>
      </w:r>
    </w:p>
    <w:p w14:paraId="2810BDF6">
      <w:pPr>
        <w:spacing w:line="360" w:lineRule="auto"/>
        <w:ind w:right="-1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2、磋商小组</w:t>
      </w:r>
      <w:r>
        <w:rPr>
          <w:rFonts w:ascii="宋体" w:hAnsi="宋体" w:eastAsia="宋体"/>
          <w:color w:val="000000" w:themeColor="text1"/>
          <w:szCs w:val="21"/>
          <w:highlight w:val="none"/>
          <w14:textFill>
            <w14:solidFill>
              <w14:schemeClr w14:val="tx1"/>
            </w14:solidFill>
          </w14:textFill>
        </w:rPr>
        <w:t>按照得分由高到低向</w:t>
      </w:r>
      <w:r>
        <w:rPr>
          <w:rFonts w:hint="eastAsia" w:ascii="宋体" w:hAnsi="宋体" w:eastAsia="宋体"/>
          <w:color w:val="000000" w:themeColor="text1"/>
          <w:szCs w:val="21"/>
          <w:highlight w:val="none"/>
          <w14:textFill>
            <w14:solidFill>
              <w14:schemeClr w14:val="tx1"/>
            </w14:solidFill>
          </w14:textFill>
        </w:rPr>
        <w:t>采购</w:t>
      </w:r>
      <w:r>
        <w:rPr>
          <w:rFonts w:ascii="宋体" w:hAnsi="宋体" w:eastAsia="宋体"/>
          <w:color w:val="000000" w:themeColor="text1"/>
          <w:szCs w:val="21"/>
          <w:highlight w:val="none"/>
          <w14:textFill>
            <w14:solidFill>
              <w14:schemeClr w14:val="tx1"/>
            </w14:solidFill>
          </w14:textFill>
        </w:rPr>
        <w:t>人推荐</w:t>
      </w:r>
      <w:r>
        <w:rPr>
          <w:rFonts w:hint="eastAsia" w:ascii="宋体" w:hAnsi="宋体" w:eastAsia="宋体"/>
          <w:color w:val="000000" w:themeColor="text1"/>
          <w:szCs w:val="21"/>
          <w:highlight w:val="none"/>
          <w14:textFill>
            <w14:solidFill>
              <w14:schemeClr w14:val="tx1"/>
            </w14:solidFill>
          </w14:textFill>
        </w:rPr>
        <w:t>1-3名成交候选人人</w:t>
      </w:r>
      <w:r>
        <w:rPr>
          <w:rFonts w:ascii="宋体" w:hAnsi="宋体" w:eastAsia="宋体"/>
          <w:color w:val="000000" w:themeColor="text1"/>
          <w:szCs w:val="21"/>
          <w:highlight w:val="none"/>
          <w14:textFill>
            <w14:solidFill>
              <w14:schemeClr w14:val="tx1"/>
            </w14:solidFill>
          </w14:textFill>
        </w:rPr>
        <w:t>，排名第一的为第一</w:t>
      </w:r>
      <w:r>
        <w:rPr>
          <w:rFonts w:hint="eastAsia" w:ascii="宋体" w:hAnsi="宋体" w:eastAsia="宋体"/>
          <w:color w:val="000000" w:themeColor="text1"/>
          <w:szCs w:val="21"/>
          <w:highlight w:val="none"/>
          <w14:textFill>
            <w14:solidFill>
              <w14:schemeClr w14:val="tx1"/>
            </w14:solidFill>
          </w14:textFill>
        </w:rPr>
        <w:t>成交</w:t>
      </w:r>
      <w:r>
        <w:rPr>
          <w:rFonts w:ascii="宋体" w:hAnsi="宋体" w:eastAsia="宋体"/>
          <w:color w:val="000000" w:themeColor="text1"/>
          <w:szCs w:val="21"/>
          <w:highlight w:val="none"/>
          <w14:textFill>
            <w14:solidFill>
              <w14:schemeClr w14:val="tx1"/>
            </w14:solidFill>
          </w14:textFill>
        </w:rPr>
        <w:t>候选人。若得分相同，则按技术部分得分排序，如技术部分得分相同，则</w:t>
      </w:r>
      <w:r>
        <w:rPr>
          <w:rFonts w:hint="eastAsia" w:ascii="宋体" w:hAnsi="宋体" w:eastAsia="宋体"/>
          <w:color w:val="000000" w:themeColor="text1"/>
          <w:szCs w:val="21"/>
          <w:highlight w:val="none"/>
          <w14:textFill>
            <w14:solidFill>
              <w14:schemeClr w14:val="tx1"/>
            </w14:solidFill>
          </w14:textFill>
        </w:rPr>
        <w:t>按</w:t>
      </w:r>
      <w:r>
        <w:rPr>
          <w:rFonts w:ascii="宋体" w:hAnsi="宋体" w:eastAsia="宋体"/>
          <w:color w:val="000000" w:themeColor="text1"/>
          <w:szCs w:val="21"/>
          <w:highlight w:val="none"/>
          <w14:textFill>
            <w14:solidFill>
              <w14:schemeClr w14:val="tx1"/>
            </w14:solidFill>
          </w14:textFill>
        </w:rPr>
        <w:t>报价由低到高排序，如报价仍相同，则由</w:t>
      </w:r>
      <w:r>
        <w:rPr>
          <w:rFonts w:hint="eastAsia" w:ascii="宋体" w:hAnsi="宋体" w:eastAsia="宋体"/>
          <w:color w:val="000000" w:themeColor="text1"/>
          <w:szCs w:val="21"/>
          <w:highlight w:val="none"/>
          <w14:textFill>
            <w14:solidFill>
              <w14:schemeClr w14:val="tx1"/>
            </w14:solidFill>
          </w14:textFill>
        </w:rPr>
        <w:t>磋商小组</w:t>
      </w:r>
      <w:r>
        <w:rPr>
          <w:rFonts w:ascii="宋体" w:hAnsi="宋体" w:eastAsia="宋体"/>
          <w:color w:val="000000" w:themeColor="text1"/>
          <w:szCs w:val="21"/>
          <w:highlight w:val="none"/>
          <w14:textFill>
            <w14:solidFill>
              <w14:schemeClr w14:val="tx1"/>
            </w14:solidFill>
          </w14:textFill>
        </w:rPr>
        <w:t>通过随机抽取的方式确定</w:t>
      </w:r>
      <w:r>
        <w:rPr>
          <w:rFonts w:hint="eastAsia" w:ascii="宋体" w:hAnsi="宋体" w:eastAsia="宋体"/>
          <w:color w:val="000000" w:themeColor="text1"/>
          <w:szCs w:val="21"/>
          <w:highlight w:val="none"/>
          <w14:textFill>
            <w14:solidFill>
              <w14:schemeClr w14:val="tx1"/>
            </w14:solidFill>
          </w14:textFill>
        </w:rPr>
        <w:t>成交</w:t>
      </w:r>
      <w:r>
        <w:rPr>
          <w:rFonts w:ascii="宋体" w:hAnsi="宋体" w:eastAsia="宋体"/>
          <w:color w:val="000000" w:themeColor="text1"/>
          <w:szCs w:val="21"/>
          <w:highlight w:val="none"/>
          <w14:textFill>
            <w14:solidFill>
              <w14:schemeClr w14:val="tx1"/>
            </w14:solidFill>
          </w14:textFill>
        </w:rPr>
        <w:t>候选人排名顺序。</w:t>
      </w:r>
    </w:p>
    <w:p w14:paraId="5070EF7B">
      <w:pPr>
        <w:pStyle w:val="24"/>
        <w:shd w:val="clear" w:color="auto" w:fill="FFFFFF"/>
        <w:spacing w:before="0" w:beforeAutospacing="0" w:after="75" w:afterAutospacing="0"/>
        <w:ind w:firstLine="422" w:firstLineChars="200"/>
        <w:rPr>
          <w:rFonts w:asciiTheme="minorEastAsia" w:hAnsiTheme="minorEastAsia" w:eastAsiaTheme="minorEastAsia" w:cstheme="minorEastAsia"/>
          <w:b/>
          <w:bCs/>
          <w:sz w:val="21"/>
          <w:szCs w:val="21"/>
          <w:highlight w:val="none"/>
          <w:lang w:val="zh-CN"/>
        </w:rPr>
      </w:pPr>
    </w:p>
    <w:p w14:paraId="06F3960C">
      <w:pP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br w:type="page"/>
      </w:r>
    </w:p>
    <w:p w14:paraId="58EF54C2">
      <w:pPr>
        <w:widowControl/>
        <w:spacing w:line="480" w:lineRule="auto"/>
        <w:jc w:val="center"/>
        <w:outlineLvl w:val="0"/>
        <w:rPr>
          <w:rFonts w:hint="eastAsia" w:asciiTheme="minorEastAsia" w:hAnsiTheme="minorEastAsia" w:eastAsiaTheme="minorEastAsia" w:cstheme="minorEastAsia"/>
          <w:b/>
          <w:sz w:val="28"/>
          <w:szCs w:val="28"/>
          <w:highlight w:val="none"/>
          <w:lang w:eastAsia="zh-CN"/>
        </w:rPr>
      </w:pPr>
      <w:bookmarkStart w:id="110" w:name="_Toc911"/>
      <w:bookmarkStart w:id="111" w:name="_Toc5088_WPSOffice_Level2"/>
      <w:bookmarkStart w:id="112" w:name="_Toc487790673"/>
      <w:bookmarkStart w:id="113" w:name="_Toc14391_WPSOffice_Level2"/>
      <w:r>
        <w:rPr>
          <w:rFonts w:hint="eastAsia" w:asciiTheme="minorEastAsia" w:hAnsiTheme="minorEastAsia" w:eastAsiaTheme="minorEastAsia" w:cstheme="minorEastAsia"/>
          <w:b/>
          <w:sz w:val="28"/>
          <w:szCs w:val="28"/>
          <w:highlight w:val="none"/>
        </w:rPr>
        <w:t xml:space="preserve">第四章  </w:t>
      </w:r>
      <w:r>
        <w:rPr>
          <w:rFonts w:hint="eastAsia" w:asciiTheme="minorEastAsia" w:hAnsiTheme="minorEastAsia" w:eastAsiaTheme="minorEastAsia" w:cstheme="minorEastAsia"/>
          <w:b/>
          <w:sz w:val="28"/>
          <w:szCs w:val="28"/>
          <w:highlight w:val="none"/>
          <w:lang w:eastAsia="zh-CN"/>
        </w:rPr>
        <w:t>采购需求</w:t>
      </w:r>
      <w:bookmarkEnd w:id="110"/>
    </w:p>
    <w:p w14:paraId="0B2CB8AD">
      <w:pPr>
        <w:numPr>
          <w:ilvl w:val="0"/>
          <w:numId w:val="0"/>
        </w:numPr>
        <w:adjustRightInd w:val="0"/>
        <w:snapToGrid w:val="0"/>
        <w:spacing w:line="480" w:lineRule="auto"/>
        <w:rPr>
          <w:rFonts w:hint="eastAsia" w:ascii="宋体" w:hAnsi="宋体" w:eastAsia="宋体" w:cs="宋体"/>
          <w:b/>
          <w:bCs w:val="0"/>
          <w:sz w:val="24"/>
          <w:szCs w:val="24"/>
          <w:highlight w:val="none"/>
          <w:lang w:eastAsia="zh-CN"/>
        </w:rPr>
      </w:pPr>
      <w:r>
        <w:rPr>
          <w:rFonts w:hint="eastAsia" w:ascii="宋体" w:hAnsi="宋体" w:cs="宋体"/>
          <w:b/>
          <w:bCs w:val="0"/>
          <w:sz w:val="24"/>
          <w:szCs w:val="24"/>
          <w:highlight w:val="none"/>
          <w:lang w:eastAsia="zh-CN"/>
        </w:rPr>
        <w:t>一、</w:t>
      </w:r>
      <w:r>
        <w:rPr>
          <w:rFonts w:hint="eastAsia" w:ascii="宋体" w:hAnsi="宋体" w:eastAsia="宋体" w:cs="宋体"/>
          <w:b/>
          <w:bCs w:val="0"/>
          <w:sz w:val="24"/>
          <w:szCs w:val="24"/>
          <w:highlight w:val="none"/>
        </w:rPr>
        <w:t>项目</w:t>
      </w:r>
      <w:r>
        <w:rPr>
          <w:rFonts w:hint="eastAsia" w:ascii="宋体" w:hAnsi="宋体" w:cs="宋体"/>
          <w:b/>
          <w:bCs w:val="0"/>
          <w:sz w:val="24"/>
          <w:szCs w:val="24"/>
          <w:highlight w:val="none"/>
          <w:lang w:eastAsia="zh-CN"/>
        </w:rPr>
        <w:t>主要内容</w:t>
      </w:r>
      <w:r>
        <w:rPr>
          <w:rFonts w:hint="eastAsia" w:ascii="宋体" w:hAnsi="宋体" w:eastAsia="宋体" w:cs="宋体"/>
          <w:b/>
          <w:bCs w:val="0"/>
          <w:sz w:val="24"/>
          <w:szCs w:val="24"/>
          <w:highlight w:val="none"/>
          <w:lang w:eastAsia="zh-CN"/>
        </w:rPr>
        <w:t>：</w:t>
      </w:r>
    </w:p>
    <w:p w14:paraId="182991D0">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cs="宋体"/>
          <w:bCs/>
          <w:sz w:val="24"/>
          <w:szCs w:val="24"/>
          <w:highlight w:val="none"/>
          <w:lang w:eastAsia="zh-CN"/>
        </w:rPr>
      </w:pPr>
      <w:r>
        <w:rPr>
          <w:rFonts w:hint="eastAsia" w:ascii="宋体" w:hAnsi="宋体" w:cs="宋体"/>
          <w:bCs/>
          <w:sz w:val="24"/>
          <w:szCs w:val="24"/>
          <w:highlight w:val="none"/>
          <w:lang w:eastAsia="zh-CN"/>
        </w:rPr>
        <w:t>巢湖学院优质课程资源与课程资源平台服务项目，主要为我校采购优质课程资源服务，满足学校教学运行需要，包括学校公选课、创新创业课程、军事理论、安全教育、“四史”课程等相关课程资源及托管服务。加强校本课程资源建设及推广，加快校本课程资源应用与转化。同时着力培育建设国家级课程，推动学校教育教学改革，为国家级课程申报做好准备工作，同时推进全校线上线下混合式课程进入新常态，实现教育教学数字化转型升级。拟引进线上线下混合式教学平台及国家级课程资源服务。</w:t>
      </w:r>
    </w:p>
    <w:p w14:paraId="3ED0DB1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1.采购范围：第一包：优质课程资源 25万元；</w:t>
      </w:r>
    </w:p>
    <w:p w14:paraId="5AA2A990">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1920" w:firstLineChars="800"/>
        <w:textAlignment w:val="auto"/>
        <w:rPr>
          <w:rFonts w:hint="eastAsia"/>
          <w:highlight w:val="none"/>
          <w:lang w:eastAsia="zh-CN"/>
        </w:rPr>
      </w:pPr>
      <w:r>
        <w:rPr>
          <w:rFonts w:hint="eastAsia" w:ascii="宋体" w:hAnsi="宋体" w:cs="宋体"/>
          <w:bCs/>
          <w:sz w:val="24"/>
          <w:szCs w:val="24"/>
          <w:highlight w:val="none"/>
          <w:lang w:val="en-US" w:eastAsia="zh-CN"/>
        </w:rPr>
        <w:t>第二包：课程资源平台服务 20万元</w:t>
      </w:r>
      <w:r>
        <w:rPr>
          <w:rFonts w:hint="eastAsia" w:ascii="宋体" w:hAnsi="宋体" w:cs="宋体"/>
          <w:bCs/>
          <w:sz w:val="24"/>
          <w:szCs w:val="24"/>
          <w:highlight w:val="none"/>
          <w:lang w:eastAsia="zh-CN"/>
        </w:rPr>
        <w:t>。</w:t>
      </w:r>
    </w:p>
    <w:p w14:paraId="5C4B6B07">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2.</w:t>
      </w:r>
      <w:r>
        <w:rPr>
          <w:rFonts w:hint="eastAsia" w:ascii="宋体" w:hAnsi="宋体" w:cs="宋体"/>
          <w:b w:val="0"/>
          <w:bCs/>
          <w:sz w:val="24"/>
          <w:szCs w:val="24"/>
          <w:highlight w:val="none"/>
          <w:lang w:eastAsia="zh-CN"/>
        </w:rPr>
        <w:t>预算金额：</w:t>
      </w:r>
      <w:r>
        <w:rPr>
          <w:rFonts w:hint="eastAsia" w:ascii="宋体" w:hAnsi="宋体" w:cs="宋体"/>
          <w:b w:val="0"/>
          <w:bCs/>
          <w:sz w:val="24"/>
          <w:szCs w:val="24"/>
          <w:highlight w:val="none"/>
          <w:lang w:val="en-US" w:eastAsia="zh-CN"/>
        </w:rPr>
        <w:t>45万元/年</w:t>
      </w:r>
    </w:p>
    <w:p w14:paraId="79D0A66C">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3.最高限价：第一包25万元；</w:t>
      </w:r>
    </w:p>
    <w:p w14:paraId="2BD4FACA">
      <w:pPr>
        <w:keepNext w:val="0"/>
        <w:keepLines w:val="0"/>
        <w:pageBreakBefore w:val="0"/>
        <w:widowControl w:val="0"/>
        <w:kinsoku/>
        <w:wordWrap/>
        <w:overflowPunct/>
        <w:topLinePunct w:val="0"/>
        <w:autoSpaceDE/>
        <w:autoSpaceDN/>
        <w:bidi w:val="0"/>
        <w:adjustRightInd w:val="0"/>
        <w:snapToGrid w:val="0"/>
        <w:spacing w:line="480" w:lineRule="auto"/>
        <w:ind w:firstLine="1920" w:firstLineChars="800"/>
        <w:textAlignment w:val="auto"/>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第二包20万元。</w:t>
      </w:r>
    </w:p>
    <w:p w14:paraId="780752F3">
      <w:pPr>
        <w:pStyle w:val="9"/>
        <w:spacing w:line="480" w:lineRule="auto"/>
        <w:ind w:firstLine="480"/>
        <w:rPr>
          <w:rFonts w:hint="eastAsia" w:hAnsi="宋体" w:cs="宋体"/>
          <w:b w:val="0"/>
          <w:bCs/>
          <w:sz w:val="24"/>
          <w:szCs w:val="24"/>
          <w:highlight w:val="none"/>
          <w:lang w:val="en-US" w:eastAsia="zh-CN"/>
        </w:rPr>
      </w:pPr>
      <w:r>
        <w:rPr>
          <w:rFonts w:hint="eastAsia" w:hAnsi="宋体" w:cs="宋体"/>
          <w:b w:val="0"/>
          <w:bCs/>
          <w:sz w:val="24"/>
          <w:szCs w:val="24"/>
          <w:highlight w:val="none"/>
          <w:lang w:val="en-US" w:eastAsia="zh-CN"/>
        </w:rPr>
        <w:t>4.付款方式：本平台部署完成验收合格后7个工作日内支付。</w:t>
      </w:r>
    </w:p>
    <w:p w14:paraId="45F53999">
      <w:pPr>
        <w:pStyle w:val="15"/>
        <w:spacing w:line="480" w:lineRule="auto"/>
        <w:ind w:firstLine="480"/>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5.服务地点：巢湖学院，采购人指定地点。</w:t>
      </w:r>
    </w:p>
    <w:p w14:paraId="55A88397">
      <w:pPr>
        <w:spacing w:line="480" w:lineRule="auto"/>
        <w:ind w:firstLine="480" w:firstLineChars="200"/>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6.服务期限：本期自合同签订之日起至2024年12月31日，服务期间不限制使用课程门数和使用人次。合同签订后，按照“壹年+壹年+壹年”模式，经采购人年度考核合格后，分期续签合同（累计最长不超过三年）。</w:t>
      </w:r>
    </w:p>
    <w:p w14:paraId="4738C3E0">
      <w:pPr>
        <w:pStyle w:val="9"/>
        <w:spacing w:line="480" w:lineRule="auto"/>
        <w:ind w:firstLine="480" w:firstLineChars="200"/>
        <w:rPr>
          <w:rFonts w:hint="default"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7.免费质保期：</w:t>
      </w:r>
      <w:r>
        <w:rPr>
          <w:rFonts w:hint="eastAsia" w:hAnsi="宋体" w:cs="宋体"/>
          <w:b w:val="0"/>
          <w:bCs/>
          <w:kern w:val="2"/>
          <w:sz w:val="24"/>
          <w:szCs w:val="24"/>
          <w:highlight w:val="none"/>
          <w:lang w:val="en-US" w:eastAsia="zh-CN" w:bidi="ar-SA"/>
        </w:rPr>
        <w:t>验收合格之日起三年</w:t>
      </w:r>
      <w:r>
        <w:rPr>
          <w:rFonts w:hint="eastAsia" w:ascii="宋体" w:hAnsi="宋体" w:eastAsia="宋体" w:cs="宋体"/>
          <w:b w:val="0"/>
          <w:bCs/>
          <w:kern w:val="2"/>
          <w:sz w:val="24"/>
          <w:szCs w:val="24"/>
          <w:highlight w:val="none"/>
          <w:lang w:val="en-US" w:eastAsia="zh-CN" w:bidi="ar-SA"/>
        </w:rPr>
        <w:t>。</w:t>
      </w:r>
    </w:p>
    <w:p w14:paraId="4937AB54">
      <w:pPr>
        <w:pStyle w:val="9"/>
        <w:spacing w:line="480" w:lineRule="auto"/>
        <w:ind w:firstLine="480" w:firstLineChars="200"/>
        <w:rPr>
          <w:rFonts w:hint="default"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8.本项目不接受联合体。</w:t>
      </w:r>
    </w:p>
    <w:p w14:paraId="75C8BDE2">
      <w:pPr>
        <w:spacing w:line="480" w:lineRule="auto"/>
        <w:rPr>
          <w:rFonts w:hint="eastAsia" w:ascii="宋体" w:hAnsi="宋体" w:cs="宋体"/>
          <w:b/>
          <w:bCs w:val="0"/>
          <w:sz w:val="24"/>
          <w:szCs w:val="24"/>
          <w:highlight w:val="none"/>
          <w:lang w:eastAsia="zh-CN"/>
        </w:rPr>
      </w:pPr>
      <w:r>
        <w:rPr>
          <w:rFonts w:hint="eastAsia" w:ascii="宋体" w:hAnsi="宋体" w:cs="宋体"/>
          <w:b/>
          <w:bCs w:val="0"/>
          <w:sz w:val="24"/>
          <w:szCs w:val="24"/>
          <w:highlight w:val="none"/>
          <w:lang w:eastAsia="zh-CN"/>
        </w:rPr>
        <w:br w:type="page"/>
      </w:r>
    </w:p>
    <w:p w14:paraId="6D060658">
      <w:pPr>
        <w:keepNext w:val="0"/>
        <w:keepLines w:val="0"/>
        <w:pageBreakBefore w:val="0"/>
        <w:widowControl w:val="0"/>
        <w:numPr>
          <w:ilvl w:val="0"/>
          <w:numId w:val="2"/>
        </w:numPr>
        <w:kinsoku/>
        <w:wordWrap/>
        <w:overflowPunct/>
        <w:topLinePunct w:val="0"/>
        <w:autoSpaceDE/>
        <w:autoSpaceDN/>
        <w:bidi w:val="0"/>
        <w:spacing w:line="360" w:lineRule="auto"/>
        <w:jc w:val="left"/>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服务要求与内容</w:t>
      </w:r>
    </w:p>
    <w:p w14:paraId="07CE28F6">
      <w:pPr>
        <w:spacing w:line="360" w:lineRule="auto"/>
        <w:jc w:val="center"/>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kern w:val="2"/>
          <w:sz w:val="24"/>
          <w:szCs w:val="24"/>
          <w:lang w:val="en-US" w:eastAsia="zh-CN" w:bidi="ar-SA"/>
        </w:rPr>
        <w:t>第一包：优质课程资源</w:t>
      </w:r>
    </w:p>
    <w:p w14:paraId="70CD83C0">
      <w:pPr>
        <w:adjustRightInd w:val="0"/>
        <w:snapToGrid w:val="0"/>
        <w:spacing w:line="360" w:lineRule="auto"/>
        <w:ind w:firstLine="482" w:firstLineChars="20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（一）总体采购需求</w:t>
      </w:r>
    </w:p>
    <w:p w14:paraId="7FBC8A27">
      <w:pPr>
        <w:adjustRightInd w:val="0"/>
        <w:snapToGrid w:val="0"/>
        <w:spacing w:line="360" w:lineRule="auto"/>
        <w:ind w:firstLine="482" w:firstLineChars="20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 xml:space="preserve">1.服务要求 </w:t>
      </w:r>
    </w:p>
    <w:p w14:paraId="4B063E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1.1为学校提供科学、全面、高品质的通识课资源、专业课资源及校本课程资源建设及推广服务。</w:t>
      </w:r>
    </w:p>
    <w:p w14:paraId="33564D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1.2专业公开课：课程体系涵盖本科整个学校生涯的所有专业课程。帮助建立完整的课程体系，补充专业课教育上的资源缺乏。以能力和学生为中心加强专业建设。</w:t>
      </w:r>
    </w:p>
    <w:p w14:paraId="4B4503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1.3培训课程：为学生们走上社会做充分的准备，更有特色的情商课程等，助力学生在专业领域走向更高的层次。为帮助学生更好地应对知识信息化所带来的挑战。</w:t>
      </w:r>
    </w:p>
    <w:p w14:paraId="15ED4C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1.4课程需具备以下门类：</w:t>
      </w:r>
    </w:p>
    <w:p w14:paraId="1C3049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专业课程类，以哲学、法学、历史学、教育学、文学、工学、管理学多个专业为顶层设计依据，打破专业视野的局限。提供至少3000门课程供学校选择。</w:t>
      </w:r>
    </w:p>
    <w:p w14:paraId="35C0B1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职业培训类：主要为学生及在职人士的职业培训，对学生而言让学生走出校园之前已经具备企业工作的基本要求，有利于学生获得优质的岗位，缩短学生进入职场的适应期，有利于企业减少培养成本。</w:t>
      </w:r>
    </w:p>
    <w:p w14:paraId="59595E2E">
      <w:pPr>
        <w:adjustRightInd w:val="0"/>
        <w:snapToGrid w:val="0"/>
        <w:spacing w:line="360" w:lineRule="auto"/>
        <w:ind w:firstLine="482" w:firstLineChars="20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 xml:space="preserve">2.课程来源要求 </w:t>
      </w:r>
    </w:p>
    <w:p w14:paraId="1059F9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2.1师资来源要求为 985/211 高校，或国内知名科研机构和企业单位，或国外知名高校。 </w:t>
      </w:r>
    </w:p>
    <w:p w14:paraId="77C052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2.2课程内容精湛。</w:t>
      </w:r>
    </w:p>
    <w:p w14:paraId="72ACEF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★2.3供应商已解决课程版权事宜，取得课程的在线运营授权，不给学校带来版权纠纷，不会因为相关争议影响学校正常使用。 </w:t>
      </w:r>
    </w:p>
    <w:p w14:paraId="1A98D8BC">
      <w:pPr>
        <w:adjustRightInd w:val="0"/>
        <w:snapToGrid w:val="0"/>
        <w:spacing w:line="360" w:lineRule="auto"/>
        <w:ind w:firstLine="482" w:firstLineChars="20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 xml:space="preserve">3.课程质量保证要求 </w:t>
      </w:r>
    </w:p>
    <w:p w14:paraId="46D877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3.1课程全部经过精细的课程设计，以慕课的形式进行线上教学设计，以短视频为主体，辅以作业、考试、讲义等多种形式的辅助教学资源，且课程已经过国内在线教育相关领域专家审核符合在线课程标准。 </w:t>
      </w:r>
    </w:p>
    <w:p w14:paraId="676BBB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3.2课程声音清晰无杂音，在线清晰流畅播放，有完整清晰简体中文字幕。 </w:t>
      </w:r>
    </w:p>
    <w:p w14:paraId="177375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★3.4每门课程需要配有完善的教学大纲，配备相关试题库（支持选择题、判断题、简答题等题型），试题需要动态更新。 </w:t>
      </w:r>
    </w:p>
    <w:p w14:paraId="42295BE7">
      <w:pPr>
        <w:adjustRightInd w:val="0"/>
        <w:snapToGrid w:val="0"/>
        <w:spacing w:line="360" w:lineRule="auto"/>
        <w:ind w:firstLine="482" w:firstLineChars="20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 xml:space="preserve">4.课程平台要求 </w:t>
      </w:r>
    </w:p>
    <w:p w14:paraId="6EB0FE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4.1.技术要求 </w:t>
      </w:r>
    </w:p>
    <w:p w14:paraId="0AF031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4.1.1采用B/S结构，不需要另行安装插件就可以支持 IE9 及以上版本、safari、firefox、chrome 等主流浏览器。 </w:t>
      </w:r>
    </w:p>
    <w:p w14:paraId="1F9D97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4.1.2符合主流视频网站交互方式，具有易操作性和美观性。 </w:t>
      </w:r>
    </w:p>
    <w:p w14:paraId="721C36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★4.1.3平台具有先进性、可移植性、开放性和兼容性，支持标准化多媒体课件。 </w:t>
      </w:r>
    </w:p>
    <w:p w14:paraId="14E04E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4.1.4支持Web服务器集群，支持公有云和混合云部署。具有安全策略和备份机制，可根据不同的业务要求采用不同的安全措施，保证发生故障时不影响整个系统的正常运行。提供各级数据备份机制能够每天非工作时段定时备份数据库。 </w:t>
      </w:r>
    </w:p>
    <w:p w14:paraId="713522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4.1.5支持学习过程跟踪和控制、在线测试和作业发布、交流互动、成绩评测和学习成果反馈，实现信息技术与教学过程的深度融合。 </w:t>
      </w:r>
    </w:p>
    <w:p w14:paraId="5CC255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4.1.6平台支持辅助教学、翻转课堂、纯网络教学等多种网络教学模式。 </w:t>
      </w:r>
    </w:p>
    <w:p w14:paraId="034901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4.1.7支持PB级别学习数据管理，课程数据统计功能支持各种统计功能。 </w:t>
      </w:r>
    </w:p>
    <w:p w14:paraId="42D831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4.1.8系统应保障全年7×24小时的连续运行，系统每年平均故障时间小于 24 小时，系统平均故障修复时间小于30分钟。 </w:t>
      </w:r>
    </w:p>
    <w:p w14:paraId="0C5907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4.1.9系统须与教务系统数据自动对接，保障学生在教务系统完成选课后，登录专业课学习平台后，自动呈现所选课程，无需手动导入。 </w:t>
      </w:r>
    </w:p>
    <w:p w14:paraId="36C8BE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4.2.功能要求 </w:t>
      </w:r>
    </w:p>
    <w:p w14:paraId="55F8E4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▲4.2.1.平台需支持多种教学运行模式，能够集教务管理、教学互动、资源管理、智能导学、数据统计、数据对接等功能为一体。</w:t>
      </w:r>
    </w:p>
    <w:p w14:paraId="380208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4.2.2.可以引导学生在线通过各种终端进行自主学习，支持视频、测验、讨论、答疑、接收通知、观看直播、参加线上、线下考试、查询成绩等全部功能。同时需要支持学生将视频离线下载至本地，在无网络情况下进行学习，相关学习记录在联网后可同步至云端。 </w:t>
      </w:r>
    </w:p>
    <w:p w14:paraId="361D813C">
      <w:pPr>
        <w:adjustRightInd w:val="0"/>
        <w:snapToGrid w:val="0"/>
        <w:spacing w:line="360" w:lineRule="auto"/>
        <w:ind w:firstLine="482" w:firstLineChars="20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 xml:space="preserve">5.课程运行服务要求 </w:t>
      </w:r>
    </w:p>
    <w:p w14:paraId="317925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需在整个学习过程中提供各种服务，保障选课、学习与管理等各项工作落实到位。 </w:t>
      </w:r>
    </w:p>
    <w:p w14:paraId="672650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★5.1选课及开课服务 </w:t>
      </w:r>
    </w:p>
    <w:p w14:paraId="44EA0B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需要为学校提供选课及开课对接服务，可支持对接教务系统选课数据，支持开课过程中选课调整，选课后可为学生提供学习指导服务，指导学生如何学习。 </w:t>
      </w:r>
    </w:p>
    <w:p w14:paraId="1BFDEC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5.2督学服务 </w:t>
      </w:r>
    </w:p>
    <w:p w14:paraId="0B2BB2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需要按学校选课时间，按需定期导出学情数据表，指导学校开展督学服务。 </w:t>
      </w:r>
    </w:p>
    <w:p w14:paraId="6162CF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★5.3配备全程助教答疑辅导 </w:t>
      </w:r>
    </w:p>
    <w:p w14:paraId="532956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为了提高学生的学习质量、学习效率，增加学生的学习深度，需要在整个教学周期，由学分课助教全程导学、督学、答疑解惑，实现助教有效精准助学。 </w:t>
      </w:r>
    </w:p>
    <w:p w14:paraId="7E07E6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★5.4线下教学支持服务 </w:t>
      </w:r>
    </w:p>
    <w:p w14:paraId="4BBA56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为学校学生提供全流程的支持服务，解决学生在登录、学习、作业、考试过程中的实际问题，课程涉及安排校内助教，可为相关教师提供平台督学使用培训。 </w:t>
      </w:r>
    </w:p>
    <w:p w14:paraId="187A0B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★5.4支持多元考核服务 </w:t>
      </w:r>
    </w:p>
    <w:p w14:paraId="22453A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为满足学校严控学生考核质量的需求，支持线上、线下考试、补考及监考服务。 </w:t>
      </w:r>
    </w:p>
    <w:p w14:paraId="32E0A6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5.5结课评分及成绩导出服务 </w:t>
      </w:r>
    </w:p>
    <w:p w14:paraId="2BF844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结课阶段支持学生成绩数据导出，涉及主观题的考试，需有专业助教提供主观题评分服务。 </w:t>
      </w:r>
    </w:p>
    <w:p w14:paraId="426ADF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★5.6教学质量运行报告 </w:t>
      </w:r>
    </w:p>
    <w:p w14:paraId="397811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每学期学校使用学分课结课后，提供详细的教学质量运行报告，作为学分课教学的科学化依据凭证，教学严肃严谨性的体现。 </w:t>
      </w:r>
    </w:p>
    <w:p w14:paraId="23C9740F">
      <w:pPr>
        <w:adjustRightInd w:val="0"/>
        <w:snapToGrid w:val="0"/>
        <w:spacing w:line="360" w:lineRule="auto"/>
        <w:ind w:firstLine="482" w:firstLineChars="20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 xml:space="preserve">6.技术服务要求 </w:t>
      </w:r>
    </w:p>
    <w:p w14:paraId="6B57C3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▲6.1需要提供开课/结课的所有对接服务：学生信息、学习成绩及学分的导入/导出服务； </w:t>
      </w:r>
    </w:p>
    <w:p w14:paraId="409384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6.2需要对学校使用学分课平台过程中全方位的服务和跟进； </w:t>
      </w:r>
    </w:p>
    <w:p w14:paraId="7BDBAB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6.3需要提供学生学习进度监控、课程访问统计分析服务； </w:t>
      </w:r>
    </w:p>
    <w:p w14:paraId="1C0102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★6.4需要提供在线客服解决学生、管理员、辅导老师使用问题，提供学生学习的智能导学、督学（短信、微信、电话、邮件）服务； </w:t>
      </w:r>
    </w:p>
    <w:p w14:paraId="159FA1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6.5需要提供随机组卷、自主测验、自动评卷服务； </w:t>
      </w:r>
    </w:p>
    <w:p w14:paraId="76A510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★6.6需要提供辅导教师工作情况、工作量监控分析服务； </w:t>
      </w:r>
    </w:p>
    <w:p w14:paraId="5BAAAE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▲6.7需要提供平台监控、系统维护服务； </w:t>
      </w:r>
    </w:p>
    <w:p w14:paraId="57B2DA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▲6.8供应商应提供上门用户培训服务，且时间、地点、规模由学校制定，每学年培训不少于2次；供应商应免费提供操作手册、培训课程和视频等参考资料。</w:t>
      </w:r>
    </w:p>
    <w:p w14:paraId="6B45FA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val="0"/>
          <w:sz w:val="24"/>
          <w:szCs w:val="24"/>
          <w:lang w:eastAsia="zh-CN"/>
        </w:rPr>
      </w:pPr>
      <w:r>
        <w:rPr>
          <w:rFonts w:hint="eastAsia" w:ascii="宋体" w:hAnsi="宋体" w:eastAsia="宋体" w:cs="宋体"/>
          <w:b/>
          <w:bCs w:val="0"/>
          <w:kern w:val="2"/>
          <w:sz w:val="24"/>
          <w:szCs w:val="24"/>
          <w:lang w:val="en-US" w:eastAsia="zh-CN" w:bidi="ar-SA"/>
        </w:rPr>
        <w:t>（二）</w:t>
      </w:r>
      <w:r>
        <w:rPr>
          <w:rFonts w:hint="eastAsia" w:ascii="宋体" w:hAnsi="宋体" w:cs="宋体"/>
          <w:b/>
          <w:bCs w:val="0"/>
          <w:sz w:val="24"/>
          <w:szCs w:val="24"/>
          <w:lang w:eastAsia="zh-CN"/>
        </w:rPr>
        <w:t>服务期限</w:t>
      </w:r>
    </w:p>
    <w:p w14:paraId="3A0B5EC3">
      <w:pPr>
        <w:pStyle w:val="20"/>
        <w:numPr>
          <w:ilvl w:val="0"/>
          <w:numId w:val="0"/>
        </w:num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highlight w:val="none"/>
          <w:lang w:val="en-US" w:eastAsia="zh-CN"/>
        </w:rPr>
        <w:t>本期自合同签订之日起至</w:t>
      </w:r>
      <w:r>
        <w:rPr>
          <w:rFonts w:hint="eastAsia" w:ascii="宋体" w:hAnsi="宋体" w:eastAsia="宋体" w:cs="宋体"/>
          <w:kern w:val="2"/>
          <w:sz w:val="24"/>
          <w:szCs w:val="24"/>
          <w:lang w:val="en-US" w:eastAsia="zh-CN" w:bidi="ar-SA"/>
        </w:rPr>
        <w:t>2024年12月31日，服务期间不限制使用课程门数和使用人次。合同签订后，按照“壹年+壹年+壹年”模式，经采购人年度考核合格后，分期续签合同（累计最长不超过三年）</w:t>
      </w:r>
    </w:p>
    <w:p w14:paraId="59B449F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w:t>
      </w:r>
      <w:r>
        <w:rPr>
          <w:rFonts w:hint="eastAsia" w:ascii="宋体" w:hAnsi="宋体" w:cs="宋体"/>
          <w:b/>
          <w:bCs w:val="0"/>
          <w:sz w:val="24"/>
          <w:szCs w:val="24"/>
          <w:lang w:eastAsia="zh-CN"/>
        </w:rPr>
        <w:t>三</w:t>
      </w:r>
      <w:r>
        <w:rPr>
          <w:rFonts w:hint="eastAsia" w:ascii="宋体" w:hAnsi="宋体" w:eastAsia="宋体" w:cs="宋体"/>
          <w:b/>
          <w:bCs w:val="0"/>
          <w:sz w:val="24"/>
          <w:szCs w:val="24"/>
        </w:rPr>
        <w:t>）其他要求</w:t>
      </w:r>
    </w:p>
    <w:p w14:paraId="48DC65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结课后提供针对学校的课程运行报告。供应商需提供省内三所学校的课程使用报告。</w:t>
      </w:r>
    </w:p>
    <w:p w14:paraId="4EB4AF73">
      <w:pPr>
        <w:spacing w:line="360" w:lineRule="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br w:type="page"/>
      </w:r>
    </w:p>
    <w:p w14:paraId="05FBD2E7">
      <w:pPr>
        <w:spacing w:line="360" w:lineRule="auto"/>
        <w:jc w:val="center"/>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kern w:val="2"/>
          <w:sz w:val="24"/>
          <w:szCs w:val="24"/>
          <w:lang w:val="en-US" w:eastAsia="zh-CN" w:bidi="ar-SA"/>
        </w:rPr>
        <w:t>第二包：优质课程资源</w:t>
      </w:r>
    </w:p>
    <w:p w14:paraId="0CA6D56F">
      <w:pPr>
        <w:widowControl/>
        <w:adjustRightInd w:val="0"/>
        <w:spacing w:line="360" w:lineRule="auto"/>
        <w:outlineLvl w:val="3"/>
        <w:rPr>
          <w:rFonts w:hint="eastAsia" w:ascii="宋体" w:hAnsi="宋体" w:eastAsia="宋体" w:cs="宋体"/>
          <w:b/>
          <w:color w:val="auto"/>
          <w:kern w:val="0"/>
          <w:sz w:val="24"/>
          <w:szCs w:val="24"/>
          <w:highlight w:val="none"/>
          <w:lang w:val="en-US"/>
        </w:rPr>
      </w:pPr>
      <w:r>
        <w:rPr>
          <w:rFonts w:hint="eastAsia" w:ascii="宋体" w:hAnsi="宋体" w:eastAsia="宋体" w:cs="宋体"/>
          <w:b/>
          <w:color w:val="auto"/>
          <w:kern w:val="0"/>
          <w:sz w:val="24"/>
          <w:szCs w:val="24"/>
          <w:highlight w:val="none"/>
          <w:lang w:val="en-US" w:eastAsia="zh-CN"/>
        </w:rPr>
        <w:t>（一）</w:t>
      </w:r>
      <w:r>
        <w:rPr>
          <w:rFonts w:hint="eastAsia" w:ascii="宋体" w:hAnsi="宋体" w:eastAsia="宋体" w:cs="宋体"/>
          <w:b/>
          <w:color w:val="auto"/>
          <w:kern w:val="0"/>
          <w:sz w:val="24"/>
          <w:szCs w:val="24"/>
          <w:highlight w:val="none"/>
        </w:rPr>
        <w:t>、总体</w:t>
      </w:r>
      <w:r>
        <w:rPr>
          <w:rFonts w:hint="eastAsia" w:ascii="宋体" w:hAnsi="宋体" w:eastAsia="宋体" w:cs="宋体"/>
          <w:b/>
          <w:color w:val="auto"/>
          <w:kern w:val="0"/>
          <w:sz w:val="24"/>
          <w:szCs w:val="24"/>
          <w:highlight w:val="none"/>
          <w:lang w:val="en-US" w:eastAsia="zh-CN"/>
        </w:rPr>
        <w:t>采购需求</w:t>
      </w:r>
    </w:p>
    <w:p w14:paraId="5E261E0D">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yellow"/>
        </w:rPr>
      </w:pPr>
      <w:r>
        <w:rPr>
          <w:rFonts w:hint="eastAsia" w:ascii="宋体" w:hAnsi="宋体" w:eastAsia="宋体" w:cs="宋体"/>
          <w:color w:val="auto"/>
          <w:kern w:val="0"/>
          <w:sz w:val="24"/>
          <w:szCs w:val="24"/>
          <w:highlight w:val="none"/>
        </w:rPr>
        <w:t>★</w:t>
      </w:r>
      <w:r>
        <w:rPr>
          <w:rFonts w:hint="eastAsia" w:ascii="宋体" w:hAnsi="宋体" w:eastAsia="宋体" w:cs="宋体"/>
          <w:sz w:val="24"/>
          <w:szCs w:val="24"/>
          <w:lang w:val="en-US" w:eastAsia="zh-CN"/>
        </w:rPr>
        <w:t>1</w:t>
      </w:r>
      <w:r>
        <w:rPr>
          <w:rFonts w:hint="eastAsia" w:ascii="宋体" w:hAnsi="宋体" w:eastAsia="宋体" w:cs="宋体"/>
          <w:sz w:val="24"/>
          <w:szCs w:val="24"/>
        </w:rPr>
        <w:t>、1、投标人具有一定的课程运行经验，以满足学校相关扩展性需求，投标文件中提供自有知识产权的课程运行服务平台证明材料；</w:t>
      </w:r>
      <w:r>
        <w:rPr>
          <w:rFonts w:hint="eastAsia" w:ascii="宋体" w:hAnsi="宋体" w:eastAsia="宋体" w:cs="宋体"/>
          <w:b/>
          <w:bCs/>
          <w:color w:val="auto"/>
          <w:kern w:val="0"/>
          <w:sz w:val="24"/>
          <w:szCs w:val="24"/>
          <w:highlight w:val="yellow"/>
          <w:lang w:eastAsia="zh-CN"/>
        </w:rPr>
        <w:t>（</w:t>
      </w:r>
      <w:r>
        <w:rPr>
          <w:rFonts w:hint="eastAsia" w:ascii="宋体" w:hAnsi="宋体" w:eastAsia="宋体" w:cs="宋体"/>
          <w:b/>
          <w:bCs/>
          <w:color w:val="auto"/>
          <w:kern w:val="0"/>
          <w:sz w:val="24"/>
          <w:szCs w:val="24"/>
          <w:highlight w:val="yellow"/>
        </w:rPr>
        <w:t>提</w:t>
      </w:r>
      <w:r>
        <w:rPr>
          <w:rFonts w:hint="eastAsia" w:ascii="宋体" w:hAnsi="宋体" w:eastAsia="宋体" w:cs="宋体"/>
          <w:b/>
          <w:bCs/>
          <w:color w:val="auto"/>
          <w:kern w:val="0"/>
          <w:sz w:val="24"/>
          <w:szCs w:val="24"/>
          <w:highlight w:val="yellow"/>
          <w:lang w:val="en-US" w:eastAsia="zh-CN"/>
        </w:rPr>
        <w:t>供自主知识产权的课程运行服务平台证明材料</w:t>
      </w:r>
      <w:r>
        <w:rPr>
          <w:rFonts w:hint="eastAsia" w:ascii="宋体" w:hAnsi="宋体" w:eastAsia="宋体" w:cs="宋体"/>
          <w:b/>
          <w:bCs/>
          <w:color w:val="auto"/>
          <w:kern w:val="0"/>
          <w:sz w:val="24"/>
          <w:szCs w:val="24"/>
          <w:highlight w:val="yellow"/>
          <w:lang w:eastAsia="zh-CN"/>
        </w:rPr>
        <w:t>）</w:t>
      </w:r>
    </w:p>
    <w:p w14:paraId="504D98F1">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yellow"/>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为保证引进在线课程的质量，把控课程建设培育各关键节点，确保课程按时按质完成，要求投标人具有五星级售后服务认证证书。保证课程运行各环节模块、任务节点的信息数据流畅，项目进度可实时在线查看，对流程上、运行节点可实现线上实时溯源</w:t>
      </w:r>
      <w:r>
        <w:rPr>
          <w:rFonts w:hint="eastAsia" w:ascii="宋体" w:hAnsi="宋体" w:eastAsia="宋体" w:cs="宋体"/>
          <w:color w:val="auto"/>
          <w:kern w:val="0"/>
          <w:sz w:val="24"/>
          <w:szCs w:val="24"/>
          <w:highlight w:val="none"/>
          <w:lang w:eastAsia="zh-CN"/>
        </w:rPr>
        <w:t>；</w:t>
      </w:r>
      <w:r>
        <w:rPr>
          <w:rFonts w:hint="eastAsia" w:ascii="宋体" w:hAnsi="宋体" w:eastAsia="宋体" w:cs="宋体"/>
          <w:b/>
          <w:bCs/>
          <w:color w:val="auto"/>
          <w:kern w:val="0"/>
          <w:sz w:val="24"/>
          <w:szCs w:val="24"/>
          <w:highlight w:val="yellow"/>
          <w:lang w:eastAsia="zh-CN"/>
        </w:rPr>
        <w:t>（</w:t>
      </w:r>
      <w:r>
        <w:rPr>
          <w:rFonts w:hint="eastAsia" w:ascii="宋体" w:hAnsi="宋体" w:eastAsia="宋体" w:cs="宋体"/>
          <w:b/>
          <w:bCs/>
          <w:color w:val="auto"/>
          <w:kern w:val="0"/>
          <w:sz w:val="24"/>
          <w:szCs w:val="24"/>
          <w:highlight w:val="yellow"/>
        </w:rPr>
        <w:t>提</w:t>
      </w:r>
      <w:r>
        <w:rPr>
          <w:rFonts w:hint="eastAsia" w:ascii="宋体" w:hAnsi="宋体" w:eastAsia="宋体" w:cs="宋体"/>
          <w:b/>
          <w:bCs/>
          <w:color w:val="auto"/>
          <w:kern w:val="0"/>
          <w:sz w:val="24"/>
          <w:szCs w:val="24"/>
          <w:highlight w:val="yellow"/>
          <w:lang w:val="en-US" w:eastAsia="zh-CN"/>
        </w:rPr>
        <w:t>供五星级售后服务认证证书</w:t>
      </w:r>
      <w:r>
        <w:rPr>
          <w:rFonts w:hint="eastAsia" w:ascii="宋体" w:hAnsi="宋体" w:eastAsia="宋体" w:cs="宋体"/>
          <w:b/>
          <w:bCs/>
          <w:color w:val="auto"/>
          <w:kern w:val="0"/>
          <w:sz w:val="24"/>
          <w:szCs w:val="24"/>
          <w:highlight w:val="yellow"/>
          <w:lang w:eastAsia="zh-CN"/>
        </w:rPr>
        <w:t>）</w:t>
      </w:r>
    </w:p>
    <w:p w14:paraId="41F128AC">
      <w:pPr>
        <w:pStyle w:val="27"/>
        <w:keepNext w:val="0"/>
        <w:keepLines w:val="0"/>
        <w:pageBreakBefore w:val="0"/>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lang w:val="en-US" w:eastAsia="zh-Hans"/>
        </w:rPr>
        <w:t>★</w:t>
      </w:r>
      <w:r>
        <w:rPr>
          <w:rFonts w:hint="eastAsia" w:ascii="宋体" w:hAnsi="宋体" w:eastAsia="宋体" w:cs="宋体"/>
          <w:color w:val="auto"/>
          <w:kern w:val="0"/>
          <w:sz w:val="24"/>
          <w:szCs w:val="24"/>
          <w:highlight w:val="none"/>
          <w:lang w:val="en-US" w:eastAsia="zh-CN" w:bidi="ar-SA"/>
        </w:rPr>
        <w:t>3、中标人须根据校方要求在中标后3个工作日内到校进行系统演示，并提供本次投标所涉及的全部证明材料文件原件，交由校方进行核查，若发现中标人有虚假响应的情况或不能按时按要求到校完成以上工作，取消其中标资格，并追究相关法律责任。</w:t>
      </w:r>
      <w:r>
        <w:rPr>
          <w:rFonts w:hint="eastAsia" w:ascii="宋体" w:hAnsi="宋体" w:eastAsia="宋体" w:cs="宋体"/>
          <w:b/>
          <w:bCs/>
          <w:color w:val="auto"/>
          <w:kern w:val="0"/>
          <w:sz w:val="24"/>
          <w:szCs w:val="24"/>
          <w:highlight w:val="yellow"/>
          <w:lang w:val="en-US" w:eastAsia="zh-CN" w:bidi="ar-SA"/>
        </w:rPr>
        <w:t>（提供承诺函）</w:t>
      </w:r>
    </w:p>
    <w:p w14:paraId="1FAF8577">
      <w:pPr>
        <w:keepNext w:val="0"/>
        <w:keepLines w:val="0"/>
        <w:pageBreakBefore w:val="0"/>
        <w:widowControl/>
        <w:kinsoku/>
        <w:wordWrap/>
        <w:overflowPunct/>
        <w:topLinePunct w:val="0"/>
        <w:autoSpaceDE/>
        <w:autoSpaceDN/>
        <w:bidi w:val="0"/>
        <w:adjustRightInd w:val="0"/>
        <w:snapToGrid/>
        <w:spacing w:line="360" w:lineRule="auto"/>
        <w:textAlignment w:val="auto"/>
        <w:outlineLvl w:val="3"/>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（二）</w:t>
      </w:r>
      <w:r>
        <w:rPr>
          <w:rFonts w:hint="eastAsia" w:ascii="宋体" w:hAnsi="宋体" w:eastAsia="宋体" w:cs="宋体"/>
          <w:b/>
          <w:color w:val="auto"/>
          <w:kern w:val="0"/>
          <w:sz w:val="24"/>
          <w:szCs w:val="24"/>
          <w:highlight w:val="none"/>
        </w:rPr>
        <w:t>、项目服务内容</w:t>
      </w:r>
    </w:p>
    <w:p w14:paraId="4CA684ED">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国家级</w:t>
      </w:r>
      <w:r>
        <w:rPr>
          <w:rFonts w:hint="eastAsia" w:ascii="宋体" w:hAnsi="宋体" w:eastAsia="宋体" w:cs="宋体"/>
          <w:b/>
          <w:bCs/>
          <w:color w:val="auto"/>
          <w:kern w:val="0"/>
          <w:sz w:val="24"/>
          <w:szCs w:val="24"/>
          <w:highlight w:val="none"/>
        </w:rPr>
        <w:t>课程</w:t>
      </w:r>
      <w:r>
        <w:rPr>
          <w:rFonts w:hint="eastAsia" w:ascii="宋体" w:hAnsi="宋体" w:eastAsia="宋体" w:cs="宋体"/>
          <w:b/>
          <w:bCs/>
          <w:color w:val="auto"/>
          <w:kern w:val="0"/>
          <w:sz w:val="24"/>
          <w:szCs w:val="24"/>
          <w:highlight w:val="none"/>
          <w:lang w:val="en-US" w:eastAsia="zh-CN"/>
        </w:rPr>
        <w:t>资源引进</w:t>
      </w:r>
    </w:p>
    <w:p w14:paraId="2BA88CFF">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平台内置国家级课程资源至少10门，资源可供学校课程团队进行本地化改造，开展混合式课程教学设计与实施。</w:t>
      </w:r>
      <w:r>
        <w:rPr>
          <w:rFonts w:hint="eastAsia" w:ascii="宋体" w:hAnsi="宋体" w:eastAsia="宋体" w:cs="宋体"/>
          <w:b/>
          <w:bCs/>
          <w:color w:val="auto"/>
          <w:kern w:val="0"/>
          <w:sz w:val="24"/>
          <w:szCs w:val="24"/>
          <w:highlight w:val="yellow"/>
          <w:lang w:eastAsia="zh-CN"/>
        </w:rPr>
        <w:t>（</w:t>
      </w:r>
      <w:r>
        <w:rPr>
          <w:rFonts w:hint="eastAsia" w:ascii="宋体" w:hAnsi="宋体" w:eastAsia="宋体" w:cs="宋体"/>
          <w:b/>
          <w:bCs/>
          <w:color w:val="auto"/>
          <w:kern w:val="0"/>
          <w:sz w:val="24"/>
          <w:szCs w:val="24"/>
          <w:highlight w:val="yellow"/>
          <w:lang w:val="en-US" w:eastAsia="zh-CN"/>
        </w:rPr>
        <w:t>提供承诺函</w:t>
      </w:r>
      <w:r>
        <w:rPr>
          <w:rFonts w:hint="eastAsia" w:ascii="宋体" w:hAnsi="宋体" w:eastAsia="宋体" w:cs="宋体"/>
          <w:b/>
          <w:bCs/>
          <w:color w:val="auto"/>
          <w:kern w:val="0"/>
          <w:sz w:val="24"/>
          <w:szCs w:val="24"/>
          <w:highlight w:val="yellow"/>
          <w:lang w:eastAsia="zh-CN"/>
        </w:rPr>
        <w:t>）</w:t>
      </w:r>
    </w:p>
    <w:p w14:paraId="35BB3310">
      <w:pPr>
        <w:keepNext w:val="0"/>
        <w:keepLines w:val="0"/>
        <w:pageBreakBefore w:val="0"/>
        <w:kinsoku/>
        <w:wordWrap/>
        <w:overflowPunct/>
        <w:topLinePunct w:val="0"/>
        <w:autoSpaceDE/>
        <w:autoSpaceDN/>
        <w:bidi w:val="0"/>
        <w:snapToGrid/>
        <w:spacing w:line="360" w:lineRule="auto"/>
        <w:ind w:firstLine="482"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校本</w:t>
      </w:r>
      <w:r>
        <w:rPr>
          <w:rFonts w:hint="eastAsia" w:ascii="宋体" w:hAnsi="宋体" w:eastAsia="宋体" w:cs="宋体"/>
          <w:b/>
          <w:bCs/>
          <w:color w:val="auto"/>
          <w:kern w:val="0"/>
          <w:sz w:val="24"/>
          <w:szCs w:val="24"/>
          <w:highlight w:val="none"/>
        </w:rPr>
        <w:t>课程运行</w:t>
      </w:r>
    </w:p>
    <w:p w14:paraId="3977E935">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须提供具有自主知识产权的数字化教学工具/平台服务，包含但不仅限于以下服务内容：数字化教学工具/平台服务，培训服务，课程上线运行咨询服务等。</w:t>
      </w:r>
    </w:p>
    <w:p w14:paraId="6CB54A86">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数字化教学工具/平台的技术、对接服务要求：</w:t>
      </w:r>
    </w:p>
    <w:p w14:paraId="0D9D4451">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kern w:val="0"/>
          <w:sz w:val="24"/>
          <w:szCs w:val="24"/>
          <w:highlight w:val="none"/>
        </w:rPr>
        <w:t>对接</w:t>
      </w:r>
    </w:p>
    <w:p w14:paraId="4427D543">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b/>
          <w:bCs/>
          <w:color w:val="auto"/>
          <w:kern w:val="0"/>
          <w:sz w:val="24"/>
          <w:szCs w:val="24"/>
          <w:highlight w:val="yellow"/>
          <w:lang w:eastAsia="zh-CN"/>
        </w:rPr>
      </w:pPr>
      <w:r>
        <w:rPr>
          <w:rFonts w:hint="eastAsia" w:ascii="宋体" w:hAnsi="宋体" w:eastAsia="宋体" w:cs="宋体"/>
          <w:color w:val="auto"/>
          <w:kern w:val="0"/>
          <w:sz w:val="24"/>
          <w:szCs w:val="24"/>
          <w:highlight w:val="none"/>
        </w:rPr>
        <w:t>要求数字化教学工具/平台可以与现有教务系统进行数据自动化对接，自动获取教务系统中的学生、教师、课程等信息，免去教师课程班级建立工作。</w:t>
      </w:r>
      <w:r>
        <w:rPr>
          <w:rFonts w:hint="eastAsia" w:ascii="宋体" w:hAnsi="宋体" w:eastAsia="宋体" w:cs="宋体"/>
          <w:b/>
          <w:bCs/>
          <w:color w:val="auto"/>
          <w:kern w:val="0"/>
          <w:sz w:val="24"/>
          <w:szCs w:val="24"/>
          <w:highlight w:val="yellow"/>
          <w:lang w:eastAsia="zh-CN"/>
        </w:rPr>
        <w:t>（</w:t>
      </w:r>
      <w:r>
        <w:rPr>
          <w:rFonts w:hint="eastAsia" w:ascii="宋体" w:hAnsi="宋体" w:eastAsia="宋体" w:cs="宋体"/>
          <w:b/>
          <w:bCs/>
          <w:color w:val="auto"/>
          <w:kern w:val="0"/>
          <w:sz w:val="24"/>
          <w:szCs w:val="24"/>
          <w:highlight w:val="yellow"/>
          <w:lang w:val="en-US" w:eastAsia="zh-CN"/>
        </w:rPr>
        <w:t>提供承诺函</w:t>
      </w:r>
      <w:r>
        <w:rPr>
          <w:rFonts w:hint="eastAsia" w:ascii="宋体" w:hAnsi="宋体" w:eastAsia="宋体" w:cs="宋体"/>
          <w:b/>
          <w:bCs/>
          <w:color w:val="auto"/>
          <w:kern w:val="0"/>
          <w:sz w:val="24"/>
          <w:szCs w:val="24"/>
          <w:highlight w:val="yellow"/>
          <w:lang w:eastAsia="zh-CN"/>
        </w:rPr>
        <w:t>）</w:t>
      </w:r>
    </w:p>
    <w:p w14:paraId="07987783">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kern w:val="0"/>
          <w:sz w:val="24"/>
          <w:szCs w:val="24"/>
          <w:highlight w:val="none"/>
        </w:rPr>
        <w:t>性能</w:t>
      </w:r>
    </w:p>
    <w:p w14:paraId="3AD892B7">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系统容量保证满足100000用户以上，系统满足万量级用户的并发运行，系统能及时的响应用户操作请求。</w:t>
      </w:r>
    </w:p>
    <w:p w14:paraId="5DDADD50">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2.3</w:t>
      </w:r>
      <w:r>
        <w:rPr>
          <w:rFonts w:hint="eastAsia" w:ascii="宋体" w:hAnsi="宋体" w:eastAsia="宋体" w:cs="宋体"/>
          <w:color w:val="auto"/>
          <w:kern w:val="0"/>
          <w:sz w:val="24"/>
          <w:szCs w:val="24"/>
          <w:highlight w:val="none"/>
        </w:rPr>
        <w:t>稳定性</w:t>
      </w:r>
    </w:p>
    <w:p w14:paraId="66E5CC9C">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平台在架构设计、功能规划、配置设置上重点考虑教学业务需求对性能的要求，确保未来运行的高可靠性和高可用性。</w:t>
      </w:r>
    </w:p>
    <w:p w14:paraId="54334992">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2.4</w:t>
      </w:r>
      <w:r>
        <w:rPr>
          <w:rFonts w:hint="eastAsia" w:ascii="宋体" w:hAnsi="宋体" w:eastAsia="宋体" w:cs="宋体"/>
          <w:color w:val="auto"/>
          <w:kern w:val="0"/>
          <w:sz w:val="24"/>
          <w:szCs w:val="24"/>
          <w:highlight w:val="none"/>
        </w:rPr>
        <w:t>规范性</w:t>
      </w:r>
    </w:p>
    <w:p w14:paraId="038971B9">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建设过程中必须统一相关的平台标准规范，优先采用已有的标准和通用规范，修订采用部分成熟的标准规范，研究制定平台操作规则。</w:t>
      </w:r>
    </w:p>
    <w:p w14:paraId="76FE6B28">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2.5</w:t>
      </w:r>
      <w:r>
        <w:rPr>
          <w:rFonts w:hint="eastAsia" w:ascii="宋体" w:hAnsi="宋体" w:eastAsia="宋体" w:cs="宋体"/>
          <w:color w:val="auto"/>
          <w:kern w:val="0"/>
          <w:sz w:val="24"/>
          <w:szCs w:val="24"/>
          <w:highlight w:val="none"/>
        </w:rPr>
        <w:t>可扩展性</w:t>
      </w:r>
    </w:p>
    <w:p w14:paraId="3DD09587">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平台满足未来教学业务的扩展、变化、调整的需求，因平台业务发展和变动带来的维护、升级成本由中标人承担。</w:t>
      </w:r>
    </w:p>
    <w:p w14:paraId="20EA1239">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2.6</w:t>
      </w:r>
      <w:r>
        <w:rPr>
          <w:rFonts w:hint="eastAsia" w:ascii="宋体" w:hAnsi="宋体" w:eastAsia="宋体" w:cs="宋体"/>
          <w:color w:val="auto"/>
          <w:kern w:val="0"/>
          <w:sz w:val="24"/>
          <w:szCs w:val="24"/>
          <w:highlight w:val="none"/>
        </w:rPr>
        <w:t>数字化教学工具/平台服务</w:t>
      </w:r>
    </w:p>
    <w:p w14:paraId="79386B74">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覆盖所有课堂教学活动的课堂互动功能，充分调动课堂气氛。在课堂结束后，为师生提供沟通交流的平台，教师可便捷地在课下向学生推送自主学习资料，系统应提供相应的监督措施及学习效果反馈。具体功能要求如下：</w:t>
      </w:r>
    </w:p>
    <w:p w14:paraId="20812262">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（1）课前预习</w:t>
      </w:r>
    </w:p>
    <w:p w14:paraId="0ED75D4B">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1）制作预习资料</w:t>
      </w:r>
    </w:p>
    <w:p w14:paraId="0E288583">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&lt;1&gt;教师制作预习资料可以不完全依赖在线课程，可以基于原有教学课件和全校师生手机都安装的微信应用或APP实现预习课件的制作及推送。</w:t>
      </w:r>
    </w:p>
    <w:p w14:paraId="7DEAA0BF">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yellow"/>
        </w:rPr>
      </w:pPr>
      <w:r>
        <w:rPr>
          <w:rFonts w:hint="eastAsia" w:ascii="宋体" w:hAnsi="宋体" w:eastAsia="宋体" w:cs="宋体"/>
          <w:color w:val="auto"/>
          <w:kern w:val="0"/>
          <w:sz w:val="24"/>
          <w:szCs w:val="24"/>
          <w:highlight w:val="none"/>
        </w:rPr>
        <w:t>★&lt;2&gt;教师可一键式插入双一流高校的mooc视频，也可以通过粘贴视频网页链接插入优酷、腾讯、哔哩哔哩或YouTube等第三方视频，系统进行自动化智能识别视频内容；教师将预习材料上传至手机，并推送给学生，学生可直接在手机端查看教师的教学课件及视频、完成习题测试，数据自动进行统计。</w:t>
      </w:r>
      <w:r>
        <w:rPr>
          <w:rFonts w:hint="eastAsia" w:ascii="宋体" w:hAnsi="宋体" w:eastAsia="宋体" w:cs="宋体"/>
          <w:b/>
          <w:bCs/>
          <w:color w:val="auto"/>
          <w:kern w:val="0"/>
          <w:sz w:val="24"/>
          <w:szCs w:val="24"/>
          <w:highlight w:val="yellow"/>
          <w:lang w:eastAsia="zh-CN"/>
        </w:rPr>
        <w:t>（</w:t>
      </w:r>
      <w:r>
        <w:rPr>
          <w:rFonts w:hint="eastAsia" w:ascii="宋体" w:hAnsi="宋体" w:eastAsia="宋体" w:cs="宋体"/>
          <w:b/>
          <w:bCs/>
          <w:color w:val="auto"/>
          <w:kern w:val="0"/>
          <w:sz w:val="24"/>
          <w:szCs w:val="24"/>
          <w:highlight w:val="yellow"/>
          <w:lang w:val="en-US" w:eastAsia="zh-CN"/>
        </w:rPr>
        <w:t>提供系统截图</w:t>
      </w:r>
      <w:r>
        <w:rPr>
          <w:rFonts w:hint="eastAsia" w:ascii="宋体" w:hAnsi="宋体" w:eastAsia="宋体" w:cs="宋体"/>
          <w:b/>
          <w:bCs/>
          <w:color w:val="auto"/>
          <w:kern w:val="0"/>
          <w:sz w:val="24"/>
          <w:szCs w:val="24"/>
          <w:highlight w:val="yellow"/>
          <w:lang w:eastAsia="zh-CN"/>
        </w:rPr>
        <w:t>）</w:t>
      </w:r>
    </w:p>
    <w:p w14:paraId="371D3E76">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&lt;3&gt;教师可以在手机端对已经编辑好的教学内容进行语音注解，包含对原有PPT、教学视频、习题等教学内容的语音解析，每个教学内容上的语音注解总条数不设上限，快速构建旁白式在线课程。</w:t>
      </w:r>
    </w:p>
    <w:p w14:paraId="35EECBA5">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&lt;4&gt;课件支持插入本地音频、视频，发布时将同步至学生手机端，无需下载即可完成学习。</w:t>
      </w:r>
    </w:p>
    <w:p w14:paraId="42BEEFF9">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&lt;5&gt;课件中的超链接支持点击跳转；推送至手机端的预习课件，保留原有教学内容的呈现效果。</w:t>
      </w:r>
    </w:p>
    <w:p w14:paraId="64BBB4CB">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2）课前推送预习资料</w:t>
      </w:r>
    </w:p>
    <w:p w14:paraId="2CC8D6B4">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&lt;1&gt;教师可以设置预习截止时间，在节点前没有预习的学生会收到消息提醒；预习活动发布之后，支持修改截止时间。</w:t>
      </w:r>
    </w:p>
    <w:p w14:paraId="63F3CB0F">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2&gt;教师将预习材料上传至教师手机端，教师可选择推送到学生手机端，学生收到预习通知后，可直接在手机端同一页面内一边听取教师语音注解，一边同步观看预习资料；也可以在同一页面内听取语音注解的同时完成该页面包含的习题作答；预习数据可自动进行统计。</w:t>
      </w:r>
    </w:p>
    <w:p w14:paraId="01708E56">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3）支持多种题型模板及题型切换</w:t>
      </w:r>
    </w:p>
    <w:p w14:paraId="0F4614F7">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1&gt;支持插入单选、多选、填空、投票、主观等多种类型习题及自定义题目分值；教师制作题目时可一键切换题目类型。多选题支持教师在学生少选时的自定义得分；填空题支持每个空单独设置分值，整个题目的答案可设置允许乱序，支持自动批复功能；投票题支持学生匿名投票功能；主观题支持学生以文字和图片的形式提交答案，当主观题用于课下预习或作业时，还支持语音形式作答；预习课件和课堂中的主观题支持分组作答。</w:t>
      </w:r>
    </w:p>
    <w:p w14:paraId="509CB450">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&lt;2&gt;主观题批改：主观题批改时，支持对文字提交内容的批注；对于学生提交的图片答案，可以点击图片进行圈点，可用不同颜色的笔迹在图片上用鼠标涂写；支持对同一班级学生提交的主观题进行批量评分。</w:t>
      </w:r>
    </w:p>
    <w:p w14:paraId="707C5DD6">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&lt;3&gt;主观题课堂互评：主观题支持已提交答案的同学参加互评，每人/每组将收到非本人/本组的作答内容；互评相互匿名；教师在发起互评时可设置互评占比，最终得分可随时修改。</w:t>
      </w:r>
    </w:p>
    <w:p w14:paraId="55724C7C">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&lt;4&gt;答案解析支持富文本答案解析，文字、图片、公式均可作为习题的答案解析上传。学生在作答之后，即可查看富文本的答案解析。</w:t>
      </w:r>
    </w:p>
    <w:p w14:paraId="456C1167">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4）教师实时查看学生预习情况</w:t>
      </w:r>
    </w:p>
    <w:p w14:paraId="737D5579">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1&gt;教师可以通过移动端或者PC端实时查看学生预习详细情况。具体包括：完成预习人数、查看课件人数、班级总人数的图表数据展示；点击详情可查看已完成预习人员名单、已查看课件人员名单及未查看课件人员名单；可追溯到每位学生预习进度、预习观看时长、习题得分情况及未观看页数；可查看当前学生预习课件习题作答选项答案及得分情况；</w:t>
      </w:r>
    </w:p>
    <w:p w14:paraId="624D87F4">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&lt;2&gt;教师可以通过移动端或者PC端随时预览课件。</w:t>
      </w:r>
    </w:p>
    <w:p w14:paraId="71F8A879">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&lt;3&gt;可查看当前预习课件班级答题情况，客观题可查看每道题的答题率、正确率及所有题目的汇总表；可直接在移动端批阅学生主观题，可给每道题赋分并添加评语。</w:t>
      </w:r>
    </w:p>
    <w:p w14:paraId="0CF54C72">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5）教学备忘</w:t>
      </w:r>
    </w:p>
    <w:p w14:paraId="098066D6">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教师可以在手机端记录教学设计和心得等笔记。</w:t>
      </w:r>
    </w:p>
    <w:p w14:paraId="2C085830">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6）预习详情数据报表发送邮箱</w:t>
      </w:r>
    </w:p>
    <w:p w14:paraId="2E20947A">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支持教师将学生详细的预习数据以邮件的方式下载或者发送至个人邮箱。</w:t>
      </w:r>
    </w:p>
    <w:p w14:paraId="26D8A67F">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7）试卷库管理</w:t>
      </w:r>
    </w:p>
    <w:p w14:paraId="04FA3E32">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支持教师在PPT端、网页端上传试卷，试卷库中的试卷可以用于课下测验和课堂考试；教师从网页端登录系统后，可以在试卷库中进行新建文件夹操作；</w:t>
      </w:r>
    </w:p>
    <w:p w14:paraId="769C3558">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ppt端上传的课件和试卷可以同步到手机的课件库和试卷库。</w:t>
      </w:r>
    </w:p>
    <w:p w14:paraId="2FA227AE">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支持多种方式登录</w:t>
      </w:r>
    </w:p>
    <w:p w14:paraId="790EC8F1">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支持在系统中绑定邮箱或者手机号，进行登录。</w:t>
      </w:r>
    </w:p>
    <w:p w14:paraId="78F358BD">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（2）课堂教学</w:t>
      </w:r>
    </w:p>
    <w:p w14:paraId="2CCBF1A9">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1）多种方式开启授课</w:t>
      </w:r>
    </w:p>
    <w:p w14:paraId="25F740F4">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★支持教师多终端开启授课。老师可以下载插件端，通过扫码、手机登录、短信登录、邮箱登录进行授课；或者登录网页版进行授课，即使教师中没有安装插件也不影响课堂教学。</w:t>
      </w:r>
      <w:r>
        <w:rPr>
          <w:rFonts w:hint="eastAsia" w:ascii="宋体" w:hAnsi="宋体" w:eastAsia="宋体" w:cs="宋体"/>
          <w:b/>
          <w:bCs/>
          <w:color w:val="auto"/>
          <w:kern w:val="0"/>
          <w:sz w:val="24"/>
          <w:szCs w:val="24"/>
          <w:highlight w:val="yellow"/>
          <w:lang w:eastAsia="zh-CN"/>
        </w:rPr>
        <w:t>（</w:t>
      </w:r>
      <w:r>
        <w:rPr>
          <w:rFonts w:hint="eastAsia" w:ascii="宋体" w:hAnsi="宋体" w:eastAsia="宋体" w:cs="宋体"/>
          <w:b/>
          <w:bCs/>
          <w:color w:val="auto"/>
          <w:kern w:val="0"/>
          <w:sz w:val="24"/>
          <w:szCs w:val="24"/>
          <w:highlight w:val="yellow"/>
          <w:lang w:val="en-US" w:eastAsia="zh-CN"/>
        </w:rPr>
        <w:t>提供系统截图</w:t>
      </w:r>
      <w:r>
        <w:rPr>
          <w:rFonts w:hint="eastAsia" w:ascii="宋体" w:hAnsi="宋体" w:eastAsia="宋体" w:cs="宋体"/>
          <w:b/>
          <w:bCs/>
          <w:color w:val="auto"/>
          <w:kern w:val="0"/>
          <w:sz w:val="24"/>
          <w:szCs w:val="24"/>
          <w:highlight w:val="yellow"/>
          <w:lang w:eastAsia="zh-CN"/>
        </w:rPr>
        <w:t>）</w:t>
      </w:r>
    </w:p>
    <w:p w14:paraId="3EA7F73B">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2）课堂签到并实时查看加入课堂的人数和签到方式</w:t>
      </w:r>
    </w:p>
    <w:p w14:paraId="3A21A9AE">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1&gt;支持PPT端、网页端教师一键开启授课，学生可以通过扫描课堂二维码、输入课堂暗号时自动完成课堂签到，课堂授课签到时展示头像，同时显示到课人数和比例；教师手机端可实时查看学生签到情况，包括：签到人数、签到方式和签到时间，以及未签到学生的名单。</w:t>
      </w:r>
      <w:r>
        <w:rPr>
          <w:rFonts w:hint="eastAsia" w:ascii="宋体" w:hAnsi="宋体" w:eastAsia="宋体" w:cs="宋体"/>
          <w:b/>
          <w:bCs/>
          <w:color w:val="auto"/>
          <w:kern w:val="0"/>
          <w:sz w:val="24"/>
          <w:szCs w:val="24"/>
          <w:highlight w:val="yellow"/>
          <w:lang w:eastAsia="zh-CN"/>
        </w:rPr>
        <w:t>（</w:t>
      </w:r>
      <w:r>
        <w:rPr>
          <w:rFonts w:hint="eastAsia" w:ascii="宋体" w:hAnsi="宋体" w:eastAsia="宋体" w:cs="宋体"/>
          <w:b/>
          <w:bCs/>
          <w:color w:val="auto"/>
          <w:kern w:val="0"/>
          <w:sz w:val="24"/>
          <w:szCs w:val="24"/>
          <w:highlight w:val="yellow"/>
          <w:lang w:val="en-US" w:eastAsia="zh-CN"/>
        </w:rPr>
        <w:t>提供系统截图</w:t>
      </w:r>
      <w:r>
        <w:rPr>
          <w:rFonts w:hint="eastAsia" w:ascii="宋体" w:hAnsi="宋体" w:eastAsia="宋体" w:cs="宋体"/>
          <w:b/>
          <w:bCs/>
          <w:color w:val="auto"/>
          <w:kern w:val="0"/>
          <w:sz w:val="24"/>
          <w:szCs w:val="24"/>
          <w:highlight w:val="yellow"/>
          <w:lang w:eastAsia="zh-CN"/>
        </w:rPr>
        <w:t>）</w:t>
      </w:r>
    </w:p>
    <w:p w14:paraId="227ACCE2">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&lt;2&gt;课堂考勤备注：可以备注学生的课堂考勤状态：已签到或未签到。</w:t>
      </w:r>
    </w:p>
    <w:p w14:paraId="7C30FE52">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3）智能遥控课件</w:t>
      </w:r>
    </w:p>
    <w:p w14:paraId="6FAA42C5">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&lt;1&gt;教师可以同时用手机或电脑控制教学课件的翻页及发送题目等课堂常用功能，摆脱讲台束缚；</w:t>
      </w:r>
    </w:p>
    <w:p w14:paraId="58F77B79">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2&gt;教师通过使用翻页笔或手机可以实现课件的翻页，调出课堂二维码让学生签到，开通/关闭弹幕功能并展现弹幕内容，随机点名，发放题目并查看答题详情等。单击上下键即可滚动，在全屏放映状态下，任何时候双击功能键即可呼出菜单栏，点选即可实现相应功能。</w:t>
      </w:r>
    </w:p>
    <w:p w14:paraId="593780A4">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4）教学内容任意截图</w:t>
      </w:r>
    </w:p>
    <w:p w14:paraId="52C98095">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教师可对电脑屏幕内容任意截图，并发送给全班同学，学生通过手机移动端查看接收内容，截图内容可作为独立的页面融入到教学课件中；</w:t>
      </w:r>
    </w:p>
    <w:p w14:paraId="16D4CDED">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5）实时教学反馈</w:t>
      </w:r>
    </w:p>
    <w:p w14:paraId="486C8E82">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学生在每一页教学课件上进行标注（类似“不懂”或“收藏”等功能）反馈，学生可以点击“不懂”进行反馈，同时可以点击“收藏”方便课后复习，课后学生可以利用标注数据查看每一堂课中自己的盲点、重难点，教师也可同步收到本班同学的课堂反馈情况，及时发现问题解决问题。</w:t>
      </w:r>
    </w:p>
    <w:p w14:paraId="6C738F65">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6）教师手机端页面支持查看教学课件备注</w:t>
      </w:r>
    </w:p>
    <w:p w14:paraId="50B18BEC">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教师在教学课件中的备注，支持在手机教师端查看。</w:t>
      </w:r>
    </w:p>
    <w:p w14:paraId="1461B32D">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7）课堂内容实时同步到学生端</w:t>
      </w:r>
    </w:p>
    <w:p w14:paraId="58B7CD56">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进行课程内容讲解时，支持教师PPT课件、板书、直播语音画面等教学内容实时同步到学生的学习终端；教师在授课过程中，无需结束授课，支持临时加入习题，或修改题目正确答案等，课件会实时同步到学生端。</w:t>
      </w:r>
    </w:p>
    <w:p w14:paraId="685AF6C3">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8）随堂小测</w:t>
      </w:r>
    </w:p>
    <w:p w14:paraId="4CB0A3A6">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课堂支持限时随堂测验，支持单选，多选、投票和主观题；随堂测试结果实时显示，方便教师实时了解答题情况。（包括答题总人数，各选项的选择详情，每个学生的答题情况等数据统计）；客观题结果实时显示，方便教师实时了解学生答题情况，包括答题总人数，各选项的选择详情，每个学生的答题情况等数据统计。教师可在课上习题详情页中，查看未作答学生名单。其中，主观题支持学生个人作答或分组作答，批改方式上支持教师批改，小组互评等，同时支持课上实时批改或课下批改。</w:t>
      </w:r>
    </w:p>
    <w:p w14:paraId="4217F40C">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9）随堂考试</w:t>
      </w:r>
    </w:p>
    <w:p w14:paraId="4327810C">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课堂支持随堂考试。课堂结束后，教师可以查看学生答题情况。</w:t>
      </w:r>
    </w:p>
    <w:p w14:paraId="144E782F">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10）弹幕</w:t>
      </w:r>
    </w:p>
    <w:p w14:paraId="3038F621">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教师可根据课堂教学情况随时开启弹幕；组织学生讨论，活跃课堂气氛，增加师生实时互动。弹幕可以实现前台（投影）匿名，后台（教师手机端）实名。</w:t>
      </w:r>
    </w:p>
    <w:p w14:paraId="71DCF710">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11）投稿</w:t>
      </w:r>
    </w:p>
    <w:p w14:paraId="50E2BD1A">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&lt;1&gt;支持PPT端、网页端开启投稿，学生在开始上课以后，可以随时通过投稿将图片、文字、视频发送至教师端，表达个人观点和问题思考。</w:t>
      </w:r>
    </w:p>
    <w:p w14:paraId="33BB2B8E">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&lt;2&gt;教师可实时查看，并可以选择将文字或内容投放至大屏幕和发送至学生手机的方式与全班同学共享，投放至大屏幕的图片和文字等投稿内容支持旋转、放大缩小等操作。</w:t>
      </w:r>
    </w:p>
    <w:p w14:paraId="66B4CC28">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12）词云</w:t>
      </w:r>
    </w:p>
    <w:p w14:paraId="52632333">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教师可控制遥控器，生成弹幕或投稿的词云并进行投屏。</w:t>
      </w:r>
    </w:p>
    <w:p w14:paraId="055042BF">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13）投屏</w:t>
      </w:r>
    </w:p>
    <w:p w14:paraId="0FFE6508">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习题投屏可以同时展示题目并可隐藏正确答案；主观题/投稿投屏可隐藏学生姓名，更好地保证学生的隐私。</w:t>
      </w:r>
    </w:p>
    <w:p w14:paraId="4F38A5B0">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14）随机点名</w:t>
      </w:r>
    </w:p>
    <w:p w14:paraId="29EBC124">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教师可通过PC端或手机端随机选择一名或多名学生参与课堂活动。</w:t>
      </w:r>
    </w:p>
    <w:p w14:paraId="0E1C49E8">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15）课堂表现加分</w:t>
      </w:r>
    </w:p>
    <w:p w14:paraId="13D38FCC">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教师可以通过遥控器对学生的课堂表现进行加分操作。</w:t>
      </w:r>
    </w:p>
    <w:p w14:paraId="01FA3032">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16）课堂板书</w:t>
      </w:r>
    </w:p>
    <w:p w14:paraId="6E1328A1">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课堂授课过程中ppt课件与板书能够自由切换，支持课堂中新建板书页，板书内容是融入到PPT教学过程中的，比如教师在第N页PPT课件讲解过程中使用板书功能，那该板书在学生端就作为独立页面嵌入到原来第N页PPT和第N+1页PPT课件中去；同时板书实时记录并投影到屏幕中；课后还能完整回放书写过程。</w:t>
      </w:r>
    </w:p>
    <w:p w14:paraId="1B790DAB">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17）课堂红包</w:t>
      </w:r>
    </w:p>
    <w:p w14:paraId="5AECDFBE">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在每次随堂测试后，教师可以在手机端发红包给答题又快又好的学生，红包自动匹配给又对又快的学生，让所有学生都参与交互的情况下又能营造竞争的氛围，激励学生认真听讲。</w:t>
      </w:r>
    </w:p>
    <w:p w14:paraId="63DC3C2C">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18）课堂小结</w:t>
      </w:r>
    </w:p>
    <w:p w14:paraId="76B15500">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记录所有课堂上的师生互动内容，生成课堂报告。可以查看到课详情，比如：学生签到情况，学生数据（包括学生成绩得分、成绩排名，答题用时、答题性情）、优秀学生和预警学生列表，随堂小测数据（包括每道题习题正确率、答题率、各选项回答人数、易错点等信息），有疑惑的课件数据，教学课件详情，考卷数据，弹幕详情，投稿详情、教学笔记等）</w:t>
      </w:r>
    </w:p>
    <w:p w14:paraId="3BABFACD">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★19）课堂直播</w:t>
      </w:r>
    </w:p>
    <w:p w14:paraId="582CCD2A">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教室具备音频、视频信号传输到教室电脑的条件下，教师在插件端可以选择开启语音直播/视频直播。开启语音直播时，加入班级的学生可接收教师的授课语音；开启视频直播时，可以选择摄像头、全屏、图片多画面来源，支持多个画面并存，加入班级的学生可接收到相应的画面；课后支持回放课堂直播内容。支持发送上课通知到学生微信端。</w:t>
      </w:r>
      <w:r>
        <w:rPr>
          <w:rFonts w:hint="eastAsia" w:ascii="宋体" w:hAnsi="宋体" w:eastAsia="宋体" w:cs="宋体"/>
          <w:b/>
          <w:bCs/>
          <w:color w:val="auto"/>
          <w:kern w:val="0"/>
          <w:sz w:val="24"/>
          <w:szCs w:val="24"/>
          <w:highlight w:val="yellow"/>
          <w:lang w:eastAsia="zh-CN"/>
        </w:rPr>
        <w:t>（</w:t>
      </w:r>
      <w:r>
        <w:rPr>
          <w:rFonts w:hint="eastAsia" w:ascii="宋体" w:hAnsi="宋体" w:eastAsia="宋体" w:cs="宋体"/>
          <w:b/>
          <w:bCs/>
          <w:color w:val="auto"/>
          <w:kern w:val="0"/>
          <w:sz w:val="24"/>
          <w:szCs w:val="24"/>
          <w:highlight w:val="yellow"/>
          <w:lang w:val="en-US" w:eastAsia="zh-CN"/>
        </w:rPr>
        <w:t>提供系统截图</w:t>
      </w:r>
      <w:r>
        <w:rPr>
          <w:rFonts w:hint="eastAsia" w:ascii="宋体" w:hAnsi="宋体" w:eastAsia="宋体" w:cs="宋体"/>
          <w:b/>
          <w:bCs/>
          <w:color w:val="auto"/>
          <w:kern w:val="0"/>
          <w:sz w:val="24"/>
          <w:szCs w:val="24"/>
          <w:highlight w:val="yellow"/>
          <w:lang w:eastAsia="zh-CN"/>
        </w:rPr>
        <w:t>）</w:t>
      </w:r>
    </w:p>
    <w:p w14:paraId="0539B050">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20）课堂教学详情数据报表下载或发送邮箱</w:t>
      </w:r>
    </w:p>
    <w:p w14:paraId="03B568BE">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支持将每堂课程更详细的学生学习统计数据下载或者发送至教师邮箱。</w:t>
      </w:r>
    </w:p>
    <w:p w14:paraId="632AA7D7">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★21）不改变教师习惯开展教学</w:t>
      </w:r>
    </w:p>
    <w:p w14:paraId="2D752855">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教师基于原有PPT，在不改变原有教学习惯的前提下，在课堂上教师即可以开启所有教学互动，实现课程教学数据全面监控。学生通过移动端即可以快速进入课堂。</w:t>
      </w:r>
      <w:r>
        <w:rPr>
          <w:rFonts w:hint="eastAsia" w:ascii="宋体" w:hAnsi="宋体" w:eastAsia="宋体" w:cs="宋体"/>
          <w:b/>
          <w:bCs/>
          <w:color w:val="auto"/>
          <w:kern w:val="0"/>
          <w:sz w:val="24"/>
          <w:szCs w:val="24"/>
          <w:highlight w:val="yellow"/>
          <w:lang w:eastAsia="zh-CN"/>
        </w:rPr>
        <w:t>（</w:t>
      </w:r>
      <w:r>
        <w:rPr>
          <w:rFonts w:hint="eastAsia" w:ascii="宋体" w:hAnsi="宋体" w:eastAsia="宋体" w:cs="宋体"/>
          <w:b/>
          <w:bCs/>
          <w:color w:val="auto"/>
          <w:kern w:val="0"/>
          <w:sz w:val="24"/>
          <w:szCs w:val="24"/>
          <w:highlight w:val="yellow"/>
          <w:lang w:val="en-US" w:eastAsia="zh-CN"/>
        </w:rPr>
        <w:t>提供系统截图</w:t>
      </w:r>
      <w:r>
        <w:rPr>
          <w:rFonts w:hint="eastAsia" w:ascii="宋体" w:hAnsi="宋体" w:eastAsia="宋体" w:cs="宋体"/>
          <w:b/>
          <w:bCs/>
          <w:color w:val="auto"/>
          <w:kern w:val="0"/>
          <w:sz w:val="24"/>
          <w:szCs w:val="24"/>
          <w:highlight w:val="yellow"/>
          <w:lang w:eastAsia="zh-CN"/>
        </w:rPr>
        <w:t>）</w:t>
      </w:r>
    </w:p>
    <w:p w14:paraId="644893BD">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22）PPT发送延迟和清晰度设置</w:t>
      </w:r>
    </w:p>
    <w:p w14:paraId="44377C73">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教师可自由选择是否延迟发送PPT；同时教师可设置幻灯片清晰度，可选择适合手机观看的“标清”或者适合大屏幕观看的“高清”。</w:t>
      </w:r>
    </w:p>
    <w:p w14:paraId="11A21B4F">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23）课后回放</w:t>
      </w:r>
    </w:p>
    <w:p w14:paraId="5C43D728">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教师开启课堂直播，课后提供“直播回放”入口，能够方便师生同时回顾教师课堂上讲授的PPT，教师书写板书的过程，以及课堂直播语音、画面。</w:t>
      </w:r>
    </w:p>
    <w:p w14:paraId="05B9D150">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24）学生视角</w:t>
      </w:r>
    </w:p>
    <w:p w14:paraId="5267451D">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教师手机遥控器支持查看学生视角，方便教师查看学生听课画面。</w:t>
      </w:r>
    </w:p>
    <w:p w14:paraId="5CE86C15">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（3）课后环节</w:t>
      </w:r>
    </w:p>
    <w:p w14:paraId="2D7A3CD6">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1）测试题批量导入</w:t>
      </w:r>
    </w:p>
    <w:p w14:paraId="4C49A38B">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教师能以word类型的题库文件无模板化一键式批量导入课件中，系统智能化识别导入题库文件中习题题干、选项、正确答案等信息。</w:t>
      </w:r>
    </w:p>
    <w:p w14:paraId="3CE83445">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2）发送试卷</w:t>
      </w:r>
    </w:p>
    <w:p w14:paraId="3CB93894">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教师可从试卷库选择考卷发送给指定的班级。教师可自定义答案显示时间。延迟显示答案，防止作弊；教师可以设置答卷截止日期，截止日期前没有答卷的学生会收到提醒。</w:t>
      </w:r>
    </w:p>
    <w:p w14:paraId="4C58B92B">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3）试卷小结</w:t>
      </w:r>
    </w:p>
    <w:p w14:paraId="3443D88E">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教师可实时查看考卷数据，包括考卷预览，考卷完成情况（包括已批改人数、完成试卷人数、查看试卷人数、班级人数分析），学生得分分布情况，学生答题正确率、答题率对比图，学生答题详情数据。</w:t>
      </w:r>
    </w:p>
    <w:p w14:paraId="514586CF">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★4）混合式教学课程资源库</w:t>
      </w:r>
    </w:p>
    <w:p w14:paraId="7435DE13">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yellow"/>
        </w:rPr>
      </w:pPr>
      <w:r>
        <w:rPr>
          <w:rFonts w:hint="eastAsia" w:ascii="宋体" w:hAnsi="宋体" w:eastAsia="宋体" w:cs="宋体"/>
          <w:color w:val="auto"/>
          <w:kern w:val="0"/>
          <w:sz w:val="24"/>
          <w:szCs w:val="24"/>
          <w:highlight w:val="none"/>
        </w:rPr>
        <w:t>平台内置不少于8000门完整慕课课程视频（35万个知识点级的视频），每个知识点视频时长约为5到15分钟，教师可按照知识点进行课程拆分以单个视频一键式添加到教学PPT课件中，应用于学生课前预习及课后复习。</w:t>
      </w:r>
      <w:r>
        <w:rPr>
          <w:rFonts w:hint="eastAsia" w:ascii="宋体" w:hAnsi="宋体" w:eastAsia="宋体" w:cs="宋体"/>
          <w:b/>
          <w:bCs/>
          <w:color w:val="auto"/>
          <w:kern w:val="0"/>
          <w:sz w:val="24"/>
          <w:szCs w:val="24"/>
          <w:highlight w:val="yellow"/>
          <w:lang w:eastAsia="zh-CN"/>
        </w:rPr>
        <w:t>（</w:t>
      </w:r>
      <w:r>
        <w:rPr>
          <w:rFonts w:hint="eastAsia" w:ascii="宋体" w:hAnsi="宋体" w:eastAsia="宋体" w:cs="宋体"/>
          <w:b/>
          <w:bCs/>
          <w:color w:val="auto"/>
          <w:kern w:val="0"/>
          <w:sz w:val="24"/>
          <w:szCs w:val="24"/>
          <w:highlight w:val="yellow"/>
          <w:lang w:val="en-US" w:eastAsia="zh-CN"/>
        </w:rPr>
        <w:t>提供课程清单及承诺函</w:t>
      </w:r>
      <w:r>
        <w:rPr>
          <w:rFonts w:hint="eastAsia" w:ascii="宋体" w:hAnsi="宋体" w:eastAsia="宋体" w:cs="宋体"/>
          <w:b/>
          <w:bCs/>
          <w:color w:val="auto"/>
          <w:kern w:val="0"/>
          <w:sz w:val="24"/>
          <w:szCs w:val="24"/>
          <w:highlight w:val="yellow"/>
          <w:lang w:eastAsia="zh-CN"/>
        </w:rPr>
        <w:t>）</w:t>
      </w:r>
    </w:p>
    <w:p w14:paraId="13C04907">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5）教学详情数据报表下载或发送邮箱</w:t>
      </w:r>
    </w:p>
    <w:p w14:paraId="4A224DE1">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将更详细的学生学习统计数据下载或发送至教师邮箱。</w:t>
      </w:r>
    </w:p>
    <w:p w14:paraId="54D174BC">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6）群发公告</w:t>
      </w:r>
    </w:p>
    <w:p w14:paraId="7F87006A">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教师可通过PC端或者移动端向班级学生群发公告；学生可通过微信端进行查看。公告可以发送图文通知、网页文章、在线视频及云盘文件等，教师可实时查看学生对此公告的查看情况。</w:t>
      </w:r>
    </w:p>
    <w:p w14:paraId="3D44BF60">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7）课件库管理</w:t>
      </w:r>
    </w:p>
    <w:p w14:paraId="60CDF144">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&lt;1&gt;支持教师在PPT端、网页端上传课件，课件库课件可以用于课前预习和课堂网页版授课；</w:t>
      </w:r>
    </w:p>
    <w:p w14:paraId="1B9F3306">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&lt;2&gt;教师从网页端登录课堂教学互动系统后，可以在课件库中进行新建文件夹操作，方便对文件进行管理。</w:t>
      </w:r>
    </w:p>
    <w:p w14:paraId="012ED71B">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8）学生分组及分组管理</w:t>
      </w:r>
    </w:p>
    <w:p w14:paraId="520174A8">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&lt;1&gt;教学中，教师可根据教学需求，对班级学生进行分组，支持三种分类形式：随机分组、学生自由分组和老师指定分组。</w:t>
      </w:r>
    </w:p>
    <w:p w14:paraId="2EC90729">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&lt;2&gt;支持教师在课下提前创建分组，也支持课上创建新的分组。</w:t>
      </w:r>
    </w:p>
    <w:p w14:paraId="14E037AF">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&lt;3&gt;教师可对已创建的分组进行成员调整和增删等管理工作。</w:t>
      </w:r>
    </w:p>
    <w:p w14:paraId="38D90DE9">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★9）国际化英文版界面</w:t>
      </w:r>
    </w:p>
    <w:p w14:paraId="0DA0AB38">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yellow"/>
        </w:rPr>
      </w:pPr>
      <w:r>
        <w:rPr>
          <w:rFonts w:hint="eastAsia" w:ascii="宋体" w:hAnsi="宋体" w:eastAsia="宋体" w:cs="宋体"/>
          <w:color w:val="auto"/>
          <w:kern w:val="0"/>
          <w:sz w:val="24"/>
          <w:szCs w:val="24"/>
          <w:highlight w:val="none"/>
        </w:rPr>
        <w:t>为方便教育教学数字化的课程国际化要求，同时方便英语专业、留学生及外国师生加入混合式教学改革和课程创新，主要操作界面支持英文版操作。</w:t>
      </w:r>
      <w:r>
        <w:rPr>
          <w:rFonts w:hint="eastAsia" w:ascii="宋体" w:hAnsi="宋体" w:eastAsia="宋体" w:cs="宋体"/>
          <w:b/>
          <w:bCs/>
          <w:color w:val="auto"/>
          <w:kern w:val="0"/>
          <w:sz w:val="24"/>
          <w:szCs w:val="24"/>
          <w:highlight w:val="yellow"/>
          <w:lang w:eastAsia="zh-CN"/>
        </w:rPr>
        <w:t>（</w:t>
      </w:r>
      <w:r>
        <w:rPr>
          <w:rFonts w:hint="eastAsia" w:ascii="宋体" w:hAnsi="宋体" w:eastAsia="宋体" w:cs="宋体"/>
          <w:b/>
          <w:bCs/>
          <w:color w:val="auto"/>
          <w:kern w:val="0"/>
          <w:sz w:val="24"/>
          <w:szCs w:val="24"/>
          <w:highlight w:val="yellow"/>
          <w:lang w:val="en-US" w:eastAsia="zh-CN"/>
        </w:rPr>
        <w:t>提供系统截图</w:t>
      </w:r>
      <w:r>
        <w:rPr>
          <w:rFonts w:hint="eastAsia" w:ascii="宋体" w:hAnsi="宋体" w:eastAsia="宋体" w:cs="宋体"/>
          <w:b/>
          <w:bCs/>
          <w:color w:val="auto"/>
          <w:kern w:val="0"/>
          <w:sz w:val="24"/>
          <w:szCs w:val="24"/>
          <w:highlight w:val="yellow"/>
          <w:lang w:eastAsia="zh-CN"/>
        </w:rPr>
        <w:t>）</w:t>
      </w:r>
    </w:p>
    <w:p w14:paraId="29D98919">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10）全周期班级管理</w:t>
      </w:r>
    </w:p>
    <w:p w14:paraId="279120A3">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&lt;1&gt;教师手机端的教学日志和学生手机端的学习日志会永久保留所有教师行为方便学生复习。</w:t>
      </w:r>
    </w:p>
    <w:p w14:paraId="5EF8D6EF">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&lt;2&gt;教师可以设置协同教师，和其他老师共同教学或管理班级。</w:t>
      </w:r>
    </w:p>
    <w:p w14:paraId="00592D68">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（4）线上考试</w:t>
      </w:r>
    </w:p>
    <w:p w14:paraId="1F5587BA">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1）制作试卷</w:t>
      </w:r>
    </w:p>
    <w:p w14:paraId="079B4235">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&lt;1&gt;支持在PC端网页制作试卷；支持通过新建文件夹、移动试卷等功能管理自己的试卷；试卷支持编辑、重命名、移动、删除等操作。</w:t>
      </w:r>
    </w:p>
    <w:p w14:paraId="479882B1">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&lt;2&gt;试卷习题支持用 word 或 excel 批量导入，添加、编辑单个习题。</w:t>
      </w:r>
    </w:p>
    <w:p w14:paraId="73973F4C">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&lt;3&gt;网页端制作的试卷题型支持单选题、多选题、投票题、判断题、填空题、主观题 6 种题型；所有题型均支持富文本编辑，支持插入本地图片，本地音频和云盘音频，提供插入公式和使用代码语言的功能；所有题型均支持设置分值、答案解析。</w:t>
      </w:r>
    </w:p>
    <w:p w14:paraId="73FB79DC">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4&gt;多选题支持设置少选不给分或少选给部分分的判分规则，可设置给分分值；投票题支持设置是否匿名、是否计分；填空题支持设置多个空，每个空支持多个答案，不同的空支持设置不同的分值。教师可设置答案顺序打乱、模糊匹配、是否区分大小写。</w:t>
      </w:r>
    </w:p>
    <w:p w14:paraId="0B0EE972">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2）试卷发布</w:t>
      </w:r>
    </w:p>
    <w:p w14:paraId="2820CFDA">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&lt;1&gt;支持设置发布时间、考试时长、考试开始时间、考试截止时间、题目顺序、选项顺序、试卷查看权限、成绩与答案公布时间等。</w:t>
      </w:r>
    </w:p>
    <w:p w14:paraId="19781A2E">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&lt;2&gt;支持设置是否开启在线监考，勾选后即具有在线监考功能。</w:t>
      </w:r>
    </w:p>
    <w:p w14:paraId="46774D1D">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&lt;3&gt;试卷发布后，教师和学生均可在微信公众号收到试卷发布提示。</w:t>
      </w:r>
    </w:p>
    <w:p w14:paraId="4B14E519">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3）在线监考 </w:t>
      </w:r>
    </w:p>
    <w:p w14:paraId="5D50F978">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&lt;1&gt;支持证件照与摄像头拍摄照片手动核验学生身份。</w:t>
      </w:r>
    </w:p>
    <w:p w14:paraId="689C4CAF">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&lt;2&gt;考试过程中，支持摄像头进行无感知抓拍，并对抓拍图片进行展示。</w:t>
      </w:r>
    </w:p>
    <w:p w14:paraId="2AA9005B">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&lt;3&gt;学生若切出考试页面，老师端将收到系统提醒。</w:t>
      </w:r>
    </w:p>
    <w:p w14:paraId="050B412A">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&lt;4&gt;按照时间轴展示学生考试状态，包含开始答题、考试异常、交卷、考试作废等状态。</w:t>
      </w:r>
    </w:p>
    <w:p w14:paraId="2846F028">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&lt;5&gt;教师可手动标记异常，可将异常改为正常，可将操作异常学生考试作废。</w:t>
      </w:r>
    </w:p>
    <w:p w14:paraId="299B055E">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4）批改试卷</w:t>
      </w:r>
    </w:p>
    <w:p w14:paraId="4A3CEEED">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&lt;1&gt;支持自动批改单选题、多选题、判断题、投票题、填空题。</w:t>
      </w:r>
    </w:p>
    <w:p w14:paraId="3BD9C04F">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&lt;2&gt;主观题批改支持打分，圈画与批注，写评语。</w:t>
      </w:r>
    </w:p>
    <w:p w14:paraId="0C68F165">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5）重置考试</w:t>
      </w:r>
    </w:p>
    <w:p w14:paraId="1BA793DA">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学生交卷后，支持给学生重置考试；重置考试之后，学生手机微信将会收到消息提示。</w:t>
      </w:r>
    </w:p>
    <w:p w14:paraId="656C06DF">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6）试卷数据下载</w:t>
      </w:r>
    </w:p>
    <w:p w14:paraId="4C5CF3B0">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支持试卷名称、学生学号、姓名、得分、考试用时、交卷时间、客观题答案等数据下载。</w:t>
      </w:r>
    </w:p>
    <w:p w14:paraId="434D1105">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7）学生在线答题及查看答案</w:t>
      </w:r>
    </w:p>
    <w:p w14:paraId="4A3CAB25">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&lt;1&gt;对于未开启“在线监考”的考试，学生端可直接在微信端、PC端网页进行答题。对于开启“在线监考”的考试，学生端只可在 PC端网页进行答题；学生需要在开始考试前30分钟进行身份核验，支持证件照片、现场拍照核验。</w:t>
      </w:r>
    </w:p>
    <w:p w14:paraId="5E753941">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&lt;2&gt;学生在主观题作答时，支持通过手机扫码的方式，将作答图片传到PC端网页进行作答。</w:t>
      </w:r>
    </w:p>
    <w:p w14:paraId="1486683F">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&lt;3&gt;学生作答时切出了考试页面，将收到系统的提醒。</w:t>
      </w:r>
    </w:p>
    <w:p w14:paraId="08FEE29A">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&lt;4&gt;老师批改后，学生可根据老师设置的成绩与答案公布时间查看老师的给分、批注及评语。</w:t>
      </w:r>
    </w:p>
    <w:p w14:paraId="60BE33DD">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 数字化教学工具/平台管理系统实现全校教学大数据的实时多地采集，并提供不同层级的数据概况报表，数据详情报表。具体要求如下：</w:t>
      </w:r>
    </w:p>
    <w:p w14:paraId="6E19EA7F">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（1）系统对接</w:t>
      </w:r>
    </w:p>
    <w:p w14:paraId="3CD467B1">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1）与学校统一身份认证系统对接，实现管理端的统一。</w:t>
      </w:r>
    </w:p>
    <w:p w14:paraId="13B982A4">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2）对接教务系统数据，并将已确认的学生及其选课信息一次性导入平台中，并进行定期维护和更新，以保证学生的选课信息准确无误。</w:t>
      </w:r>
    </w:p>
    <w:p w14:paraId="25498BDD">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★3）为学校提供界面个性化定制、专属二级登录域名。个性化定制页面包含学校主题背景，以及学校logo的登录页面；所有的教学平台页面均包含学校logo；并根据学校主视觉色系进行配色。</w:t>
      </w:r>
      <w:r>
        <w:rPr>
          <w:rFonts w:hint="eastAsia" w:ascii="宋体" w:hAnsi="宋体" w:eastAsia="宋体" w:cs="宋体"/>
          <w:b/>
          <w:bCs/>
          <w:color w:val="auto"/>
          <w:kern w:val="0"/>
          <w:sz w:val="24"/>
          <w:szCs w:val="24"/>
          <w:highlight w:val="yellow"/>
          <w:lang w:eastAsia="zh-CN"/>
        </w:rPr>
        <w:t>（</w:t>
      </w:r>
      <w:r>
        <w:rPr>
          <w:rFonts w:hint="eastAsia" w:ascii="宋体" w:hAnsi="宋体" w:eastAsia="宋体" w:cs="宋体"/>
          <w:b/>
          <w:bCs/>
          <w:color w:val="auto"/>
          <w:kern w:val="0"/>
          <w:sz w:val="24"/>
          <w:szCs w:val="24"/>
          <w:highlight w:val="yellow"/>
          <w:lang w:val="en-US" w:eastAsia="zh-CN"/>
        </w:rPr>
        <w:t>提供系统截图</w:t>
      </w:r>
      <w:r>
        <w:rPr>
          <w:rFonts w:hint="eastAsia" w:ascii="宋体" w:hAnsi="宋体" w:eastAsia="宋体" w:cs="宋体"/>
          <w:b/>
          <w:bCs/>
          <w:color w:val="auto"/>
          <w:kern w:val="0"/>
          <w:sz w:val="24"/>
          <w:szCs w:val="24"/>
          <w:highlight w:val="yellow"/>
          <w:lang w:eastAsia="zh-CN"/>
        </w:rPr>
        <w:t>）</w:t>
      </w:r>
    </w:p>
    <w:p w14:paraId="4818973D">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4）为学习者提供优质的云端网络环境。</w:t>
      </w:r>
    </w:p>
    <w:p w14:paraId="1F43FA04">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（2）综合数据</w:t>
      </w:r>
    </w:p>
    <w:p w14:paraId="388E0F6A">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管理员/督导在综合数据页面，可以查看该校使用智慧教学互动系统所产生的数据情况，包括用户概况、教学活动和课堂互动情况。</w:t>
      </w:r>
    </w:p>
    <w:p w14:paraId="7A29BE65">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用户概况展示该校使用智慧教学互动系统的教师、学生人数和教学班级情况，及占本学期有课程的教师、学生和全校教学班级数的比例，并用图表进行图形展示；每个字段统计“数量绝对值、同总数的占比、与上个周期的环比波动”3个数据。</w:t>
      </w:r>
    </w:p>
    <w:p w14:paraId="49C82CCB">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教学活动主要是课前的预习课件发布、课堂活动发布、课后试卷发布、课外公告发布等四类活动，校级管理员可查看全校教师产生的教学活动总数以及每一项教学活动所产生的数据，并可以环比波动的形式查看数量对比趋势；每个字段统计“数量绝对值、同总数的占比、与上个周期的环比波动”3个数据。</w:t>
      </w:r>
    </w:p>
    <w:p w14:paraId="6502DA4A">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课堂互动包含但不限于投稿、习题、弹幕、随机点名、教学内容疑问标记、课堂红包等六类，校级管理员可查看全校学生课堂互动总数，并可分别查看习题、投稿、弹幕、随机点名+课件内容疑问标记+课堂红包的数量。每个字段统计“数量绝对值、同总数的占比、与上个周期的环比波动”3 个数据。</w:t>
      </w:r>
    </w:p>
    <w:p w14:paraId="4A794129">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（3）今日动态</w:t>
      </w:r>
    </w:p>
    <w:p w14:paraId="1F392956">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今日动态以时间轴的形式为管理员/督导用户提供全校当天教学运营监控，动态信息包括当前授课课程名称、授课教师头像、授课教师姓名、所属院系、当前课程到课率，支持按日期切换。授课结束后，查看对应教学班的课堂小结。</w:t>
      </w:r>
    </w:p>
    <w:p w14:paraId="57CED927">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（4）督导督学</w:t>
      </w:r>
    </w:p>
    <w:p w14:paraId="41F9E014">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督导督学功能支持管理员以教学督导的身份进入正在授课的课堂界面。进入授课课堂页面，左侧显示当堂课的课程信息、签到详情和未签到详情，中间显示课堂学生端实时画面，右侧显示课堂互动详情，管理员产生的学习行为数据不会被记录，不会影响老师正常教学。</w:t>
      </w:r>
    </w:p>
    <w:p w14:paraId="78AF49D2">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2）可随机抽取部分正在使用智慧课堂教学平台进行授课的课程，实时展播这部分进行中的课堂课件等信息。</w:t>
      </w:r>
    </w:p>
    <w:p w14:paraId="41370418">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（5）数据详情</w:t>
      </w:r>
    </w:p>
    <w:p w14:paraId="5A9D0E50">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理员/督导可以查看系统内新增用户、活跃用户、活跃班级的数据情况，并以可视化图表的形式呈现。新增·用户可以看到统计周期内各院系绑定用户的数量排名，活跃用户点击进入可以教师视角查看教学活动详情，活跃班级点击教学活动可以进入教学班动态页面，查看并下载教学详细数据。</w:t>
      </w:r>
    </w:p>
    <w:p w14:paraId="63672752">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1）新增用户面板记录用户绑定时间，“按时间统计”模式下，管理员可以查看每天的绑定用户数量；将视角切换到“按学院统计”，还能看到统计周期内各院系绑定用户的数量排名。</w:t>
      </w:r>
    </w:p>
    <w:p w14:paraId="71F1E604">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2）活跃用户面板展示用户最近一次参与的教学活动内容，可以进入教师视角查看教学活动详情；可以将视角切换到“按时间统计”和“按学院统计”。</w:t>
      </w:r>
    </w:p>
    <w:p w14:paraId="087FA2E6">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3）活跃班级面板展示学校每天活跃的班级数量，及每个班级发送教学活动的数量。点击教学活动，可以进入教学班动态页面+，查看并下载教学详细数据。</w:t>
      </w:r>
    </w:p>
    <w:p w14:paraId="397998B4">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4）课堂数据面板展示学校每天的开课数量、平均到课率、上课师生人次等数据，点击课堂可以进入课后小结查看授课记录。</w:t>
      </w:r>
    </w:p>
    <w:p w14:paraId="340D3D84">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5）课件数据面板展示学校每天发送课件数量和学生的平均预习率。点击课件可以进入老师课件小结，查看课件预习数据。</w:t>
      </w:r>
    </w:p>
    <w:p w14:paraId="1B1CC53C">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6）试卷数据面板展示学校每天发送试卷数量和学生的平均完成率。点击试卷可以进入老师课件小结，查看试卷作答数据。</w:t>
      </w:r>
    </w:p>
    <w:p w14:paraId="662209EB">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7）公告数据面板展示学校每天发送公告数量和平均查看率。点击公告可以查看公告内容和阅读公告详情。</w:t>
      </w:r>
    </w:p>
    <w:p w14:paraId="57428745">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老师课堂小结是给授课教师生成的课堂教学报告，管理员视角查看课程时，不能编辑或修改数据。课堂小结从学生考勤、授课课件、课堂习题、课堂互动、课堂考试5个维度展示课堂教学数据，并为每个同学生成听课报告和课堂得分。</w:t>
      </w:r>
    </w:p>
    <w:p w14:paraId="1FA6019B">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9）课件小结可以自动检测学生每一页的预习进度，教师可以查看学生在每页课件内容的停留时间；自动统计学生答题分布；学生有不明白的知识点，也可以及时向老师反馈，提高学习效率。</w:t>
      </w:r>
    </w:p>
    <w:p w14:paraId="641F0D03">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10）试卷小结为老师自动统计全班成绩分布，每道题统计学生答题分布，作答结束后，还为每个学生生成试卷成绩单，支持导出PDF，方便学生复习和学校存档。</w:t>
      </w:r>
    </w:p>
    <w:p w14:paraId="5ABBC253">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11）公告小结可查看公告详细内容，阅读人数详细情况，方便老师及时掌握查看公告情况。</w:t>
      </w:r>
    </w:p>
    <w:p w14:paraId="5F5298AD">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课堂互动数据面板展示课堂互动总数与上个周期的环比波动情况；习题情况、投稿情况、弹幕情况、点名情况、知识点反馈情况+课堂激励情况的数量与上个周期的环比波动情况；可以将视角切换到“按时间统计”和“按学院统计”。</w:t>
      </w:r>
    </w:p>
    <w:p w14:paraId="7B4F131D">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（6）考试动态</w:t>
      </w:r>
    </w:p>
    <w:p w14:paraId="7710708C">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1）管理员/督导登录学校管理后台即可查看正在进行的考试动态或者已经结束的考试信息。</w:t>
      </w:r>
    </w:p>
    <w:p w14:paraId="7568A88B">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2）支持通过时间、院系等筛选操作，准确查找想要了解的某个院系的某场考试详情。</w:t>
      </w:r>
    </w:p>
    <w:p w14:paraId="2436AE53">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管理员/督导进入某场使用在线监考的考试后，可以看到所有学生的考试状态。左侧动态按照时间倒序，标明了学生开始答题、考试异常、交卷、考试作废等状态；右侧显示学生列表，图片为其身份检验时拍摄的摄像头图像，考试异常或未检测到摄像头的同学将在列表中被标注出来。点击可进入学生个人页面，个人页面记录了该同学的所有系统抓拍和切屏状态。</w:t>
      </w:r>
    </w:p>
    <w:p w14:paraId="01988B26">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4）管理员/督导可以选择查看某场考试的详情包括考试时间、考试时长、考试试卷、试卷完成情况、试卷统计、学生表现等。</w:t>
      </w:r>
    </w:p>
    <w:p w14:paraId="3C8234DF">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（7）数据下载</w:t>
      </w:r>
    </w:p>
    <w:p w14:paraId="0749B6B8">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支持学院维度统计数据下载，下载后可展示综合数据，教学活动，课堂互动情况。学院综合数据展示所属学院、教学班数量和选课人数；教学活动展示教学活动总数、开课总数、应到课人数、实际到课人数、平均到课率、课件总数、平均预习率、试卷总数、平均完成率、公告总数、平均查看率；课堂互动展示课堂互动总数、习题互动总数、投稿总数、弹幕总数、课堂激励总数、有疑问的课件总数、随机点名总数。</w:t>
      </w:r>
      <w:r>
        <w:rPr>
          <w:rFonts w:hint="eastAsia" w:ascii="宋体" w:hAnsi="宋体" w:eastAsia="宋体" w:cs="宋体"/>
          <w:b/>
          <w:bCs/>
          <w:color w:val="auto"/>
          <w:kern w:val="0"/>
          <w:sz w:val="24"/>
          <w:szCs w:val="24"/>
          <w:highlight w:val="yellow"/>
          <w:lang w:eastAsia="zh-CN"/>
        </w:rPr>
        <w:t>（</w:t>
      </w:r>
      <w:r>
        <w:rPr>
          <w:rFonts w:hint="eastAsia" w:ascii="宋体" w:hAnsi="宋体" w:eastAsia="宋体" w:cs="宋体"/>
          <w:b/>
          <w:bCs/>
          <w:color w:val="auto"/>
          <w:kern w:val="0"/>
          <w:sz w:val="24"/>
          <w:szCs w:val="24"/>
          <w:highlight w:val="yellow"/>
          <w:lang w:val="en-US" w:eastAsia="zh-CN"/>
        </w:rPr>
        <w:t>提供系统截图</w:t>
      </w:r>
      <w:r>
        <w:rPr>
          <w:rFonts w:hint="eastAsia" w:ascii="宋体" w:hAnsi="宋体" w:eastAsia="宋体" w:cs="宋体"/>
          <w:b/>
          <w:bCs/>
          <w:color w:val="auto"/>
          <w:kern w:val="0"/>
          <w:sz w:val="24"/>
          <w:szCs w:val="24"/>
          <w:highlight w:val="yellow"/>
          <w:lang w:eastAsia="zh-CN"/>
        </w:rPr>
        <w:t>）</w:t>
      </w:r>
    </w:p>
    <w:p w14:paraId="7E504D4F">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支持班级维度统计数据下载，下载后可展示综合数据，教学活动，课堂互动情况。班级综合数据展示课程名称、教学班名称、所属学院、教师、工号、选课人次；教学活动展示教学活动总数、开课总数、应到课人数、实际到课人数、平均到课率、课件总数、平均预习率、试卷总数、平均完成率、公告总数、平均查看率；课堂互动展示课堂互动总数、习题互动总数、投稿总数、弹幕总数、课堂激励总数、有疑问的课件总数、随机点名总数。</w:t>
      </w:r>
      <w:r>
        <w:rPr>
          <w:rFonts w:hint="eastAsia" w:ascii="宋体" w:hAnsi="宋体" w:eastAsia="宋体" w:cs="宋体"/>
          <w:b/>
          <w:bCs/>
          <w:color w:val="auto"/>
          <w:kern w:val="0"/>
          <w:sz w:val="24"/>
          <w:szCs w:val="24"/>
          <w:highlight w:val="yellow"/>
          <w:lang w:eastAsia="zh-CN"/>
        </w:rPr>
        <w:t>（</w:t>
      </w:r>
      <w:r>
        <w:rPr>
          <w:rFonts w:hint="eastAsia" w:ascii="宋体" w:hAnsi="宋体" w:eastAsia="宋体" w:cs="宋体"/>
          <w:b/>
          <w:bCs/>
          <w:color w:val="auto"/>
          <w:kern w:val="0"/>
          <w:sz w:val="24"/>
          <w:szCs w:val="24"/>
          <w:highlight w:val="yellow"/>
          <w:lang w:val="en-US" w:eastAsia="zh-CN"/>
        </w:rPr>
        <w:t>提供系统截图</w:t>
      </w:r>
      <w:r>
        <w:rPr>
          <w:rFonts w:hint="eastAsia" w:ascii="宋体" w:hAnsi="宋体" w:eastAsia="宋体" w:cs="宋体"/>
          <w:b/>
          <w:bCs/>
          <w:color w:val="auto"/>
          <w:kern w:val="0"/>
          <w:sz w:val="24"/>
          <w:szCs w:val="24"/>
          <w:highlight w:val="yellow"/>
          <w:lang w:eastAsia="zh-CN"/>
        </w:rPr>
        <w:t>）</w:t>
      </w:r>
    </w:p>
    <w:p w14:paraId="6DC385E4">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支持教师维度统计数据下载，下载后可展示综合数据，教学活动，课堂互动情况。教师综合数据展示教师、工号、绑定状态、所属学院、教学班数量、选课人次；教学活动展示教学活动总数、开课总数、应到课人数、实际到课人数、平均到课率、课件总数、平均预习率、试卷总数、平均完成率、公告总数、平均查看率；课堂互动展示课堂互动总数、习题互动总数、投稿总数、弹幕总数、课堂激励总数、有疑问的课件总数、随机点名总数。</w:t>
      </w:r>
      <w:r>
        <w:rPr>
          <w:rFonts w:hint="eastAsia" w:ascii="宋体" w:hAnsi="宋体" w:eastAsia="宋体" w:cs="宋体"/>
          <w:b/>
          <w:bCs/>
          <w:color w:val="auto"/>
          <w:kern w:val="0"/>
          <w:sz w:val="24"/>
          <w:szCs w:val="24"/>
          <w:highlight w:val="yellow"/>
          <w:lang w:eastAsia="zh-CN"/>
        </w:rPr>
        <w:t>（</w:t>
      </w:r>
      <w:r>
        <w:rPr>
          <w:rFonts w:hint="eastAsia" w:ascii="宋体" w:hAnsi="宋体" w:eastAsia="宋体" w:cs="宋体"/>
          <w:b/>
          <w:bCs/>
          <w:color w:val="auto"/>
          <w:kern w:val="0"/>
          <w:sz w:val="24"/>
          <w:szCs w:val="24"/>
          <w:highlight w:val="yellow"/>
          <w:lang w:val="en-US" w:eastAsia="zh-CN"/>
        </w:rPr>
        <w:t>提供系统截图</w:t>
      </w:r>
      <w:r>
        <w:rPr>
          <w:rFonts w:hint="eastAsia" w:ascii="宋体" w:hAnsi="宋体" w:eastAsia="宋体" w:cs="宋体"/>
          <w:b/>
          <w:bCs/>
          <w:color w:val="auto"/>
          <w:kern w:val="0"/>
          <w:sz w:val="24"/>
          <w:szCs w:val="24"/>
          <w:highlight w:val="yellow"/>
          <w:lang w:eastAsia="zh-CN"/>
        </w:rPr>
        <w:t>）</w:t>
      </w:r>
    </w:p>
    <w:p w14:paraId="4FB11B33">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4）支持课堂数据详情下载，下载后可展示课堂数据详情，包括学生信息、签到详情、课堂互动信息、答题详情等。</w:t>
      </w:r>
    </w:p>
    <w:p w14:paraId="7CE36486">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5）支持课件数据详情下载，下载后可展示课件数据详情，包括学生信息、观看详情、答题详情等。</w:t>
      </w:r>
    </w:p>
    <w:p w14:paraId="15541C47">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6）支持试卷数据详情下载，下载后可展示学生对试卷作答的详情。</w:t>
      </w:r>
    </w:p>
    <w:p w14:paraId="685B610B">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7）支持公告数据详情下载，下载后可查看每个学生是否查看公告以及查看公告的详情。</w:t>
      </w:r>
    </w:p>
    <w:p w14:paraId="0CBB8BF9">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8）试卷成绩单支持导出PDF，支持下载单个学生试卷成绩单、或批量下载全班学生成绩单，用于线上考试试卷存档。</w:t>
      </w:r>
    </w:p>
    <w:p w14:paraId="6CE76D44">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（8）数据月报</w:t>
      </w:r>
    </w:p>
    <w:p w14:paraId="0112E90E">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yellow"/>
        </w:rPr>
      </w:pPr>
      <w:r>
        <w:rPr>
          <w:rFonts w:hint="eastAsia" w:ascii="宋体" w:hAnsi="宋体" w:eastAsia="宋体" w:cs="宋体"/>
          <w:color w:val="auto"/>
          <w:kern w:val="0"/>
          <w:sz w:val="24"/>
          <w:szCs w:val="24"/>
          <w:highlight w:val="none"/>
        </w:rPr>
        <w:t>★数据月报是基于教学互动系统产生的教学大数据生成的教学运营报告，支持微信订阅，订阅后系统每月定时为管理员/督导推送上个月的教学运营报告。数据月报分“数据总览”和“本月TOP榜”两部分：①数据总览。从用户概况、教学活动、课堂互动三个维度统计前一个月的教学数据，包括活跃用户数量、发送教学活动数量、各类课堂互动数量等，每项数据都会计算环比上月的波动比例；②本月TOP榜。一共三个榜单：以活跃用户数排名的学院榜单、以学院平均到课率排名的学院榜单、以教师发送教学活动数量排名的教师榜单。</w:t>
      </w:r>
      <w:r>
        <w:rPr>
          <w:rFonts w:hint="eastAsia" w:ascii="宋体" w:hAnsi="宋体" w:eastAsia="宋体" w:cs="宋体"/>
          <w:b/>
          <w:bCs/>
          <w:color w:val="auto"/>
          <w:kern w:val="0"/>
          <w:sz w:val="24"/>
          <w:szCs w:val="24"/>
          <w:highlight w:val="yellow"/>
          <w:lang w:eastAsia="zh-CN"/>
        </w:rPr>
        <w:t>（</w:t>
      </w:r>
      <w:r>
        <w:rPr>
          <w:rFonts w:hint="eastAsia" w:ascii="宋体" w:hAnsi="宋体" w:eastAsia="宋体" w:cs="宋体"/>
          <w:b/>
          <w:bCs/>
          <w:color w:val="auto"/>
          <w:kern w:val="0"/>
          <w:sz w:val="24"/>
          <w:szCs w:val="24"/>
          <w:highlight w:val="yellow"/>
          <w:lang w:val="en-US" w:eastAsia="zh-CN"/>
        </w:rPr>
        <w:t>提供系统截图</w:t>
      </w:r>
      <w:r>
        <w:rPr>
          <w:rFonts w:hint="eastAsia" w:ascii="宋体" w:hAnsi="宋体" w:eastAsia="宋体" w:cs="宋体"/>
          <w:b/>
          <w:bCs/>
          <w:color w:val="auto"/>
          <w:kern w:val="0"/>
          <w:sz w:val="24"/>
          <w:szCs w:val="24"/>
          <w:highlight w:val="yellow"/>
          <w:lang w:eastAsia="zh-CN"/>
        </w:rPr>
        <w:t>）</w:t>
      </w:r>
    </w:p>
    <w:p w14:paraId="11324495">
      <w:pPr>
        <w:keepNext w:val="0"/>
        <w:keepLines w:val="0"/>
        <w:pageBreakBefore w:val="0"/>
        <w:kinsoku/>
        <w:wordWrap/>
        <w:overflowPunct/>
        <w:topLinePunct w:val="0"/>
        <w:autoSpaceDE/>
        <w:autoSpaceDN/>
        <w:bidi w:val="0"/>
        <w:snapToGrid/>
        <w:spacing w:line="48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（9）数据直播</w:t>
      </w:r>
    </w:p>
    <w:p w14:paraId="62AF8476">
      <w:pPr>
        <w:keepNext w:val="0"/>
        <w:keepLines w:val="0"/>
        <w:pageBreakBefore w:val="0"/>
        <w:kinsoku/>
        <w:wordWrap/>
        <w:overflowPunct/>
        <w:topLinePunct w:val="0"/>
        <w:autoSpaceDE/>
        <w:autoSpaceDN/>
        <w:bidi w:val="0"/>
        <w:snapToGrid/>
        <w:spacing w:line="48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据直播为学校以最直观的方式展示智慧教学互动系统的使用情况，方便教务管理员/督导对学校的教学质量进行把控。数据直播页面支持教学管理员/督导按照不同时间周期（本周、本月、本学期等）去查看本校在该周期的教学概况、教学活动、教学互动、今日实况等内容。</w:t>
      </w:r>
    </w:p>
    <w:p w14:paraId="7525DC03">
      <w:pPr>
        <w:keepNext w:val="0"/>
        <w:keepLines w:val="0"/>
        <w:pageBreakBefore w:val="0"/>
        <w:kinsoku/>
        <w:wordWrap/>
        <w:overflowPunct/>
        <w:topLinePunct w:val="0"/>
        <w:autoSpaceDE/>
        <w:autoSpaceDN/>
        <w:bidi w:val="0"/>
        <w:snapToGrid/>
        <w:spacing w:line="48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用户概况；可以查看全校覆盖人数，以及统计周期内的学校覆盖人数增量，包括学生、老师和教学班级；可以查看活跃用户数，以及统计周期内活跃用户数增量，包括学生、老师和教学班级；活跃用户趋势会以折线图形式，展示以时间轴为变化的活跃用户情况；</w:t>
      </w:r>
    </w:p>
    <w:p w14:paraId="60DF7117">
      <w:pPr>
        <w:keepNext w:val="0"/>
        <w:keepLines w:val="0"/>
        <w:pageBreakBefore w:val="0"/>
        <w:kinsoku/>
        <w:wordWrap/>
        <w:overflowPunct/>
        <w:topLinePunct w:val="0"/>
        <w:autoSpaceDE/>
        <w:autoSpaceDN/>
        <w:bidi w:val="0"/>
        <w:snapToGrid/>
        <w:spacing w:line="48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教学活动展示统计周期内的教学活动的总数，课堂、课件、试卷、公告等单个教学活动的数量、增长情况等，并以折线图形式展示数据变化情况；展示每一项教学活动的数据变化情况，包括总数、总数变化率、平均变化率及趋势等。</w:t>
      </w:r>
    </w:p>
    <w:p w14:paraId="25F53BDC">
      <w:pPr>
        <w:keepNext w:val="0"/>
        <w:keepLines w:val="0"/>
        <w:pageBreakBefore w:val="0"/>
        <w:kinsoku/>
        <w:wordWrap/>
        <w:overflowPunct/>
        <w:topLinePunct w:val="0"/>
        <w:autoSpaceDE/>
        <w:autoSpaceDN/>
        <w:bidi w:val="0"/>
        <w:snapToGrid/>
        <w:spacing w:line="48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3）课堂互动展示统计周期内的学生总互动数，习题互动、投稿、弹幕等单个教学活动的数量，单位时间内的增长率；以统计周期为维度展示课堂课件数、课堂互动数的平均数量情况、数据变化情况。</w:t>
      </w:r>
    </w:p>
    <w:p w14:paraId="3B978C78">
      <w:pPr>
        <w:keepNext w:val="0"/>
        <w:keepLines w:val="0"/>
        <w:pageBreakBefore w:val="0"/>
        <w:kinsoku/>
        <w:wordWrap/>
        <w:overflowPunct/>
        <w:topLinePunct w:val="0"/>
        <w:autoSpaceDE/>
        <w:autoSpaceDN/>
        <w:bidi w:val="0"/>
        <w:snapToGrid/>
        <w:spacing w:line="48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4）今日实况展示当天的教学活动的总数，课堂、课件、试卷、公告等单个教学活动的数量、单位时间内的增长情况等，并以图表形式展示数据变化情况；实时动态展示以时间轴为单位的最新教学活动情况。</w:t>
      </w:r>
    </w:p>
    <w:p w14:paraId="7D07C84F">
      <w:pPr>
        <w:keepNext w:val="0"/>
        <w:keepLines w:val="0"/>
        <w:pageBreakBefore w:val="0"/>
        <w:kinsoku/>
        <w:wordWrap/>
        <w:overflowPunct/>
        <w:topLinePunct w:val="0"/>
        <w:autoSpaceDE/>
        <w:autoSpaceDN/>
        <w:bidi w:val="0"/>
        <w:snapToGrid/>
        <w:spacing w:line="48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（10）行政通知</w:t>
      </w:r>
    </w:p>
    <w:p w14:paraId="717824C6">
      <w:pPr>
        <w:keepNext w:val="0"/>
        <w:keepLines w:val="0"/>
        <w:pageBreakBefore w:val="0"/>
        <w:kinsoku/>
        <w:wordWrap/>
        <w:overflowPunct/>
        <w:topLinePunct w:val="0"/>
        <w:autoSpaceDE/>
        <w:autoSpaceDN/>
        <w:bidi w:val="0"/>
        <w:snapToGrid/>
        <w:spacing w:line="48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可根据管理员身份权限发送校级/院级/行政班级行政通知，可以设置是否开启审核流程，发送人可选择接受通知的人员角色（全体师生、教师、学生），可自定义填写发送人名称，通知内容除了文字外，支持添加图片、文档、视频等附件文档。</w:t>
      </w:r>
    </w:p>
    <w:p w14:paraId="3DA3A5C8">
      <w:pPr>
        <w:keepNext w:val="0"/>
        <w:keepLines w:val="0"/>
        <w:pageBreakBefore w:val="0"/>
        <w:kinsoku/>
        <w:wordWrap/>
        <w:overflowPunct/>
        <w:topLinePunct w:val="0"/>
        <w:autoSpaceDE/>
        <w:autoSpaceDN/>
        <w:bidi w:val="0"/>
        <w:snapToGrid/>
        <w:spacing w:line="48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2）可对本人发送的行政通知进行预览、查看送达人数、查看已读人数等操作。</w:t>
      </w:r>
    </w:p>
    <w:p w14:paraId="6CBAC2E4">
      <w:pPr>
        <w:keepNext w:val="0"/>
        <w:keepLines w:val="0"/>
        <w:pageBreakBefore w:val="0"/>
        <w:kinsoku/>
        <w:wordWrap/>
        <w:overflowPunct/>
        <w:topLinePunct w:val="0"/>
        <w:autoSpaceDE/>
        <w:autoSpaceDN/>
        <w:bidi w:val="0"/>
        <w:snapToGrid/>
        <w:spacing w:line="48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（11）后台教务管理</w:t>
      </w:r>
    </w:p>
    <w:p w14:paraId="7354D84D">
      <w:pPr>
        <w:keepNext w:val="0"/>
        <w:keepLines w:val="0"/>
        <w:pageBreakBefore w:val="0"/>
        <w:kinsoku/>
        <w:wordWrap/>
        <w:overflowPunct/>
        <w:topLinePunct w:val="0"/>
        <w:autoSpaceDE/>
        <w:autoSpaceDN/>
        <w:bidi w:val="0"/>
        <w:snapToGrid/>
        <w:spacing w:line="48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教学班管理可以对系统的课程、教学班、授课教师、行政班、学期、所属院系等信息进行查询操作，对于查询到的信息可以进行查看、编辑、删除操作；展示当前课程信息，管理员可以行政班选课的形式将学生加入到教学班中，支持单个添加协同教师、学生，旁听生批量转正，移除课程内学生等操作。</w:t>
      </w:r>
    </w:p>
    <w:p w14:paraId="76150105">
      <w:pPr>
        <w:keepNext w:val="0"/>
        <w:keepLines w:val="0"/>
        <w:pageBreakBefore w:val="0"/>
        <w:kinsoku/>
        <w:wordWrap/>
        <w:overflowPunct/>
        <w:topLinePunct w:val="0"/>
        <w:autoSpaceDE/>
        <w:autoSpaceDN/>
        <w:bidi w:val="0"/>
        <w:snapToGrid/>
        <w:spacing w:line="48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用户管理可以对用户、角色、入学学年、所属行政班、所属院系、绑定状态等信息进行查询操作，对用户可以进行编辑、删除操作，可以在后台对用户进行绑定身份的操作；可以对管理员设置督导角色，设置成功后，督导只能够查看数据看板，避免对数据的误操作。</w:t>
      </w:r>
    </w:p>
    <w:p w14:paraId="586C7108">
      <w:pPr>
        <w:keepNext w:val="0"/>
        <w:keepLines w:val="0"/>
        <w:pageBreakBefore w:val="0"/>
        <w:kinsoku/>
        <w:wordWrap/>
        <w:overflowPunct/>
        <w:topLinePunct w:val="0"/>
        <w:autoSpaceDE/>
        <w:autoSpaceDN/>
        <w:bidi w:val="0"/>
        <w:snapToGrid/>
        <w:spacing w:line="48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行政班管理可以对行政班、入学学年、辅导员、所属院系等信息进行查询操作，对于查询到的行政班信息可以进行查看、编辑、删除操作；查看当前班级信息，管理员师可以添加辅导员、学生，对学生可进行换班、移除等操作</w:t>
      </w:r>
    </w:p>
    <w:p w14:paraId="2ECECC38">
      <w:pPr>
        <w:keepNext w:val="0"/>
        <w:keepLines w:val="0"/>
        <w:pageBreakBefore w:val="0"/>
        <w:kinsoku/>
        <w:wordWrap/>
        <w:overflowPunct/>
        <w:topLinePunct w:val="0"/>
        <w:autoSpaceDE/>
        <w:autoSpaceDN/>
        <w:bidi w:val="0"/>
        <w:snapToGrid/>
        <w:spacing w:line="48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4）教研室管理可以对教研室进行查询、编辑、删除操作</w:t>
      </w:r>
    </w:p>
    <w:p w14:paraId="57623EA9">
      <w:pPr>
        <w:keepNext w:val="0"/>
        <w:keepLines w:val="0"/>
        <w:pageBreakBefore w:val="0"/>
        <w:kinsoku/>
        <w:wordWrap/>
        <w:overflowPunct/>
        <w:topLinePunct w:val="0"/>
        <w:autoSpaceDE/>
        <w:autoSpaceDN/>
        <w:bidi w:val="0"/>
        <w:snapToGrid/>
        <w:spacing w:line="48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5）院系管理可以对院系信息进行查询、编辑、删除操作</w:t>
      </w:r>
    </w:p>
    <w:p w14:paraId="71398176">
      <w:pPr>
        <w:keepNext w:val="0"/>
        <w:keepLines w:val="0"/>
        <w:pageBreakBefore w:val="0"/>
        <w:kinsoku/>
        <w:wordWrap/>
        <w:overflowPunct/>
        <w:topLinePunct w:val="0"/>
        <w:autoSpaceDE/>
        <w:autoSpaceDN/>
        <w:bidi w:val="0"/>
        <w:snapToGrid/>
        <w:spacing w:line="480" w:lineRule="auto"/>
        <w:ind w:firstLine="480"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color w:val="auto"/>
          <w:kern w:val="0"/>
          <w:sz w:val="24"/>
          <w:szCs w:val="24"/>
          <w:highlight w:val="none"/>
        </w:rPr>
        <w:t>6）操作日志可查询管理员在管理平台上的操作。</w:t>
      </w:r>
    </w:p>
    <w:p w14:paraId="206C46A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val="en-US" w:eastAsia="zh-CN"/>
        </w:rPr>
        <w:t>三、</w:t>
      </w:r>
      <w:r>
        <w:rPr>
          <w:rFonts w:hint="eastAsia" w:ascii="宋体" w:hAnsi="宋体" w:eastAsia="宋体" w:cs="宋体"/>
          <w:b/>
          <w:bCs w:val="0"/>
          <w:sz w:val="24"/>
          <w:szCs w:val="24"/>
          <w:highlight w:val="none"/>
          <w:lang w:eastAsia="zh-CN"/>
        </w:rPr>
        <w:t>供应商资格要求：</w:t>
      </w:r>
    </w:p>
    <w:p w14:paraId="5E80AF37">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eastAsia="zh-CN"/>
        </w:rPr>
        <w:t>详见磋商公告。</w:t>
      </w:r>
      <w:r>
        <w:rPr>
          <w:rFonts w:hint="eastAsia" w:ascii="宋体" w:hAnsi="宋体" w:eastAsia="宋体" w:cs="宋体"/>
          <w:b w:val="0"/>
          <w:bCs/>
          <w:sz w:val="24"/>
          <w:szCs w:val="24"/>
          <w:highlight w:val="none"/>
          <w:lang w:val="en-US" w:eastAsia="zh-CN"/>
        </w:rPr>
        <w:t xml:space="preserve"> </w:t>
      </w:r>
    </w:p>
    <w:p w14:paraId="5315F4B7">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四、</w:t>
      </w:r>
      <w:r>
        <w:rPr>
          <w:rFonts w:hint="eastAsia" w:ascii="宋体" w:hAnsi="宋体" w:eastAsia="宋体" w:cs="宋体"/>
          <w:b/>
          <w:bCs w:val="0"/>
          <w:sz w:val="24"/>
          <w:szCs w:val="24"/>
          <w:highlight w:val="none"/>
          <w:lang w:eastAsia="zh-CN"/>
        </w:rPr>
        <w:t>其他说明：</w:t>
      </w:r>
      <w:r>
        <w:rPr>
          <w:rFonts w:hint="eastAsia" w:ascii="宋体" w:hAnsi="宋体" w:eastAsia="宋体" w:cs="宋体"/>
          <w:b/>
          <w:bCs w:val="0"/>
          <w:sz w:val="24"/>
          <w:szCs w:val="24"/>
          <w:highlight w:val="none"/>
          <w:lang w:val="en-US" w:eastAsia="zh-CN"/>
        </w:rPr>
        <w:t xml:space="preserve"> </w:t>
      </w:r>
    </w:p>
    <w:p w14:paraId="5886E2E7">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w:t>
      </w:r>
      <w:r>
        <w:rPr>
          <w:rFonts w:hint="eastAsia" w:ascii="宋体" w:hAnsi="宋体" w:eastAsia="宋体" w:cs="宋体"/>
          <w:b w:val="0"/>
          <w:bCs/>
          <w:sz w:val="24"/>
          <w:szCs w:val="24"/>
          <w:highlight w:val="none"/>
          <w:lang w:eastAsia="zh-CN"/>
        </w:rPr>
        <w:t>投标报价最高不得超过每包最高限价，否则投标无效。投标报价包含供应商服务成本、委派</w:t>
      </w:r>
      <w:r>
        <w:rPr>
          <w:rFonts w:hint="eastAsia" w:ascii="宋体" w:hAnsi="宋体" w:eastAsia="宋体" w:cs="宋体"/>
          <w:bCs/>
          <w:sz w:val="24"/>
          <w:szCs w:val="24"/>
          <w:highlight w:val="none"/>
          <w:lang w:eastAsia="zh-CN"/>
        </w:rPr>
        <w:t>人员报酬、利润、税金和承担的风险等与项目相关的一切费用，以后不得追加任何费用。</w:t>
      </w:r>
    </w:p>
    <w:p w14:paraId="17A693BD">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lang w:eastAsia="zh-CN"/>
        </w:rPr>
        <w:t>）</w:t>
      </w:r>
      <w:r>
        <w:rPr>
          <w:rFonts w:hint="eastAsia" w:ascii="宋体" w:hAnsi="宋体" w:eastAsia="宋体" w:cs="宋体"/>
          <w:b w:val="0"/>
          <w:bCs w:val="0"/>
          <w:sz w:val="24"/>
          <w:szCs w:val="24"/>
          <w:highlight w:val="none"/>
          <w:lang w:eastAsia="zh-CN"/>
        </w:rPr>
        <w:t>人工费用、售后费用、</w:t>
      </w:r>
      <w:r>
        <w:rPr>
          <w:rFonts w:hint="eastAsia" w:ascii="宋体" w:hAnsi="宋体" w:eastAsia="宋体" w:cs="宋体"/>
          <w:b w:val="0"/>
          <w:bCs w:val="0"/>
          <w:sz w:val="24"/>
          <w:szCs w:val="24"/>
          <w:highlight w:val="none"/>
        </w:rPr>
        <w:t>运输、安装、</w:t>
      </w:r>
      <w:r>
        <w:rPr>
          <w:rFonts w:hint="eastAsia" w:ascii="宋体" w:hAnsi="宋体" w:eastAsia="宋体" w:cs="宋体"/>
          <w:b w:val="0"/>
          <w:bCs w:val="0"/>
          <w:sz w:val="24"/>
          <w:szCs w:val="24"/>
          <w:highlight w:val="none"/>
          <w:lang w:eastAsia="zh-CN"/>
        </w:rPr>
        <w:t>辅材及管理</w:t>
      </w:r>
      <w:r>
        <w:rPr>
          <w:rFonts w:hint="eastAsia" w:ascii="宋体" w:hAnsi="宋体" w:eastAsia="宋体" w:cs="宋体"/>
          <w:b w:val="0"/>
          <w:bCs w:val="0"/>
          <w:sz w:val="24"/>
          <w:szCs w:val="24"/>
          <w:highlight w:val="none"/>
        </w:rPr>
        <w:t>等</w:t>
      </w:r>
      <w:r>
        <w:rPr>
          <w:rFonts w:hint="eastAsia" w:ascii="宋体" w:hAnsi="宋体" w:eastAsia="宋体" w:cs="宋体"/>
          <w:b w:val="0"/>
          <w:bCs w:val="0"/>
          <w:sz w:val="24"/>
          <w:szCs w:val="24"/>
          <w:highlight w:val="none"/>
          <w:lang w:eastAsia="zh-CN"/>
        </w:rPr>
        <w:t>费用均</w:t>
      </w:r>
      <w:r>
        <w:rPr>
          <w:rFonts w:hint="eastAsia" w:ascii="宋体" w:hAnsi="宋体" w:eastAsia="宋体" w:cs="宋体"/>
          <w:b w:val="0"/>
          <w:bCs w:val="0"/>
          <w:sz w:val="24"/>
          <w:szCs w:val="24"/>
          <w:highlight w:val="none"/>
        </w:rPr>
        <w:t>由</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负责承担。</w:t>
      </w:r>
    </w:p>
    <w:p w14:paraId="34FFC3F7">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lang w:eastAsia="zh-CN"/>
        </w:rPr>
        <w:t>）未尽事宜经双方协商后在合同中注明。</w:t>
      </w:r>
    </w:p>
    <w:p w14:paraId="0DBFE080">
      <w:pPr>
        <w:rPr>
          <w:rFonts w:hint="eastAsia" w:asciiTheme="majorEastAsia" w:hAnsiTheme="majorEastAsia" w:eastAsiaTheme="majorEastAsia" w:cstheme="majorEastAsia"/>
          <w:b/>
          <w:sz w:val="30"/>
          <w:szCs w:val="30"/>
          <w:highlight w:val="none"/>
        </w:rPr>
      </w:pPr>
      <w:r>
        <w:rPr>
          <w:rFonts w:hint="eastAsia" w:asciiTheme="majorEastAsia" w:hAnsiTheme="majorEastAsia" w:eastAsiaTheme="majorEastAsia" w:cstheme="majorEastAsia"/>
          <w:b/>
          <w:sz w:val="30"/>
          <w:szCs w:val="30"/>
          <w:highlight w:val="none"/>
        </w:rPr>
        <w:br w:type="page"/>
      </w:r>
    </w:p>
    <w:p w14:paraId="3707754E">
      <w:pPr>
        <w:widowControl/>
        <w:numPr>
          <w:ilvl w:val="0"/>
          <w:numId w:val="3"/>
        </w:numPr>
        <w:spacing w:line="440" w:lineRule="exact"/>
        <w:jc w:val="center"/>
        <w:outlineLvl w:val="0"/>
        <w:rPr>
          <w:rFonts w:hint="eastAsia" w:asciiTheme="majorEastAsia" w:hAnsiTheme="majorEastAsia" w:eastAsiaTheme="majorEastAsia" w:cstheme="majorEastAsia"/>
          <w:b/>
          <w:sz w:val="30"/>
          <w:szCs w:val="30"/>
          <w:highlight w:val="none"/>
        </w:rPr>
      </w:pPr>
      <w:r>
        <w:rPr>
          <w:rFonts w:hint="eastAsia" w:asciiTheme="majorEastAsia" w:hAnsiTheme="majorEastAsia" w:eastAsiaTheme="majorEastAsia" w:cstheme="majorEastAsia"/>
          <w:b/>
          <w:sz w:val="30"/>
          <w:szCs w:val="30"/>
          <w:highlight w:val="none"/>
        </w:rPr>
        <w:t xml:space="preserve"> </w:t>
      </w:r>
      <w:bookmarkEnd w:id="111"/>
      <w:bookmarkEnd w:id="112"/>
      <w:bookmarkEnd w:id="113"/>
      <w:bookmarkStart w:id="114" w:name="_Toc8657"/>
      <w:bookmarkStart w:id="115" w:name="_Toc349830342"/>
      <w:r>
        <w:rPr>
          <w:rFonts w:hint="eastAsia" w:asciiTheme="majorEastAsia" w:hAnsiTheme="majorEastAsia" w:eastAsiaTheme="majorEastAsia" w:cstheme="majorEastAsia"/>
          <w:b/>
          <w:sz w:val="30"/>
          <w:szCs w:val="30"/>
          <w:highlight w:val="none"/>
        </w:rPr>
        <w:t>合同主要内容</w:t>
      </w:r>
      <w:bookmarkEnd w:id="114"/>
      <w:bookmarkEnd w:id="115"/>
    </w:p>
    <w:p w14:paraId="088716D4">
      <w:pPr>
        <w:pStyle w:val="9"/>
        <w:numPr>
          <w:ilvl w:val="0"/>
          <w:numId w:val="0"/>
        </w:numPr>
        <w:rPr>
          <w:highlight w:val="none"/>
        </w:rPr>
      </w:pPr>
    </w:p>
    <w:p w14:paraId="4F807E0C">
      <w:pPr>
        <w:jc w:val="center"/>
        <w:rPr>
          <w:b/>
          <w:highlight w:val="none"/>
        </w:rPr>
      </w:pPr>
      <w:bookmarkStart w:id="116" w:name="_Toc3602_WPSOffice_Level1"/>
      <w:bookmarkStart w:id="117" w:name="_Toc17678_WPSOffice_Level1"/>
      <w:bookmarkStart w:id="118" w:name="_Toc23352_WPSOffice_Level1"/>
      <w:bookmarkStart w:id="119" w:name="_Toc2820"/>
      <w:r>
        <w:rPr>
          <w:rFonts w:hint="eastAsia"/>
          <w:b/>
          <w:highlight w:val="none"/>
        </w:rPr>
        <w:t>（</w:t>
      </w:r>
      <w:r>
        <w:rPr>
          <w:b/>
          <w:highlight w:val="none"/>
        </w:rPr>
        <w:t>本合同</w:t>
      </w:r>
      <w:r>
        <w:rPr>
          <w:rFonts w:hint="eastAsia"/>
          <w:b/>
          <w:highlight w:val="none"/>
        </w:rPr>
        <w:t>仅供</w:t>
      </w:r>
      <w:r>
        <w:rPr>
          <w:b/>
          <w:highlight w:val="none"/>
        </w:rPr>
        <w:t>参考，</w:t>
      </w:r>
      <w:r>
        <w:rPr>
          <w:rFonts w:hint="eastAsia"/>
          <w:b/>
          <w:highlight w:val="none"/>
        </w:rPr>
        <w:t>具体</w:t>
      </w:r>
      <w:r>
        <w:rPr>
          <w:b/>
          <w:highlight w:val="none"/>
        </w:rPr>
        <w:t>合同以实际签订为准）</w:t>
      </w:r>
    </w:p>
    <w:p w14:paraId="29E9A382">
      <w:pPr>
        <w:spacing w:line="360" w:lineRule="auto"/>
        <w:ind w:firstLine="420" w:firstLineChars="200"/>
        <w:rPr>
          <w:rFonts w:ascii="宋体" w:cs="宋体"/>
          <w:szCs w:val="21"/>
          <w:highlight w:val="none"/>
        </w:rPr>
      </w:pPr>
      <w:r>
        <w:rPr>
          <w:rFonts w:hint="eastAsia" w:ascii="宋体" w:cs="宋体"/>
          <w:szCs w:val="21"/>
          <w:highlight w:val="none"/>
        </w:rPr>
        <w:t>买    方：                                   卖    方：</w:t>
      </w:r>
    </w:p>
    <w:p w14:paraId="4A07EA5F">
      <w:pPr>
        <w:spacing w:line="360" w:lineRule="auto"/>
        <w:ind w:firstLine="420" w:firstLineChars="200"/>
        <w:rPr>
          <w:rFonts w:ascii="宋体" w:cs="宋体"/>
          <w:szCs w:val="21"/>
          <w:highlight w:val="none"/>
        </w:rPr>
      </w:pPr>
      <w:r>
        <w:rPr>
          <w:rFonts w:hint="eastAsia" w:ascii="宋体" w:cs="宋体"/>
          <w:szCs w:val="21"/>
          <w:highlight w:val="none"/>
        </w:rPr>
        <w:t>电    话：                                   电    话：</w:t>
      </w:r>
    </w:p>
    <w:p w14:paraId="28BF0453">
      <w:pPr>
        <w:spacing w:line="360" w:lineRule="auto"/>
        <w:ind w:firstLine="420" w:firstLineChars="200"/>
        <w:rPr>
          <w:rFonts w:ascii="宋体" w:cs="宋体"/>
          <w:szCs w:val="21"/>
          <w:highlight w:val="none"/>
        </w:rPr>
      </w:pPr>
      <w:r>
        <w:rPr>
          <w:rFonts w:hint="eastAsia" w:ascii="宋体" w:cs="宋体"/>
          <w:szCs w:val="21"/>
          <w:highlight w:val="none"/>
        </w:rPr>
        <w:t xml:space="preserve">住    所：                                   住    所：                       </w:t>
      </w:r>
    </w:p>
    <w:p w14:paraId="0F4CFB66">
      <w:pPr>
        <w:spacing w:line="360" w:lineRule="auto"/>
        <w:ind w:firstLine="420" w:firstLineChars="200"/>
        <w:rPr>
          <w:rFonts w:ascii="宋体" w:cs="宋体"/>
          <w:szCs w:val="21"/>
          <w:highlight w:val="none"/>
        </w:rPr>
      </w:pPr>
      <w:r>
        <w:rPr>
          <w:rFonts w:hint="eastAsia" w:ascii="宋体" w:cs="宋体"/>
          <w:szCs w:val="21"/>
          <w:highlight w:val="none"/>
          <w:u w:val="single"/>
        </w:rPr>
        <w:t>（买方）</w:t>
      </w:r>
      <w:r>
        <w:rPr>
          <w:rFonts w:hint="eastAsia" w:ascii="宋体" w:cs="宋体"/>
          <w:szCs w:val="21"/>
          <w:highlight w:val="none"/>
        </w:rPr>
        <w:t>的</w:t>
      </w:r>
      <w:r>
        <w:rPr>
          <w:rFonts w:hint="eastAsia" w:ascii="宋体" w:cs="宋体"/>
          <w:szCs w:val="21"/>
          <w:highlight w:val="none"/>
          <w:u w:val="single"/>
        </w:rPr>
        <w:t>（项目名称）</w:t>
      </w:r>
      <w:r>
        <w:rPr>
          <w:rFonts w:hint="eastAsia" w:ascii="宋体" w:cs="宋体"/>
          <w:szCs w:val="21"/>
          <w:highlight w:val="none"/>
        </w:rPr>
        <w:t>中所需</w:t>
      </w:r>
      <w:r>
        <w:rPr>
          <w:rFonts w:hint="eastAsia" w:ascii="宋体" w:cs="宋体"/>
          <w:szCs w:val="21"/>
          <w:highlight w:val="none"/>
          <w:u w:val="none"/>
        </w:rPr>
        <w:t>服务，经</w:t>
      </w:r>
      <w:r>
        <w:rPr>
          <w:rFonts w:hint="eastAsia" w:ascii="宋体" w:cs="宋体"/>
          <w:szCs w:val="21"/>
          <w:highlight w:val="none"/>
          <w:u w:val="none"/>
          <w:lang w:eastAsia="zh-CN"/>
        </w:rPr>
        <w:t>磋商</w:t>
      </w:r>
      <w:r>
        <w:rPr>
          <w:rFonts w:hint="eastAsia" w:ascii="宋体" w:cs="宋体"/>
          <w:szCs w:val="21"/>
          <w:highlight w:val="none"/>
        </w:rPr>
        <w:t>，确定</w:t>
      </w:r>
      <w:r>
        <w:rPr>
          <w:rFonts w:hint="eastAsia" w:ascii="宋体" w:cs="宋体"/>
          <w:szCs w:val="21"/>
          <w:highlight w:val="none"/>
          <w:u w:val="single"/>
        </w:rPr>
        <w:t>（卖方）</w:t>
      </w:r>
      <w:r>
        <w:rPr>
          <w:rFonts w:hint="eastAsia" w:ascii="宋体" w:cs="宋体"/>
          <w:szCs w:val="21"/>
          <w:highlight w:val="none"/>
        </w:rPr>
        <w:t>为</w:t>
      </w:r>
      <w:r>
        <w:rPr>
          <w:rFonts w:hint="eastAsia" w:ascii="宋体" w:cs="宋体"/>
          <w:szCs w:val="21"/>
          <w:highlight w:val="none"/>
          <w:lang w:eastAsia="zh-CN"/>
        </w:rPr>
        <w:t>成交供应商</w:t>
      </w:r>
      <w:r>
        <w:rPr>
          <w:rFonts w:hint="eastAsia" w:ascii="宋体" w:cs="宋体"/>
          <w:szCs w:val="21"/>
          <w:highlight w:val="none"/>
        </w:rPr>
        <w:t>。按照</w:t>
      </w:r>
      <w:r>
        <w:rPr>
          <w:rFonts w:hint="eastAsia" w:ascii="宋体" w:cs="宋体"/>
          <w:szCs w:val="21"/>
          <w:highlight w:val="none"/>
          <w:lang w:eastAsia="zh-CN"/>
        </w:rPr>
        <w:t>《</w:t>
      </w:r>
      <w:r>
        <w:rPr>
          <w:rFonts w:hint="eastAsia" w:ascii="宋体" w:cs="宋体"/>
          <w:szCs w:val="21"/>
          <w:highlight w:val="none"/>
        </w:rPr>
        <w:t>中华人民共和国</w:t>
      </w:r>
      <w:r>
        <w:rPr>
          <w:rFonts w:hint="eastAsia" w:ascii="宋体" w:cs="宋体"/>
          <w:szCs w:val="21"/>
          <w:highlight w:val="none"/>
          <w:lang w:eastAsia="zh-CN"/>
        </w:rPr>
        <w:t>民法典》</w:t>
      </w:r>
      <w:r>
        <w:rPr>
          <w:rFonts w:hint="eastAsia" w:ascii="宋体" w:cs="宋体"/>
          <w:szCs w:val="21"/>
          <w:highlight w:val="none"/>
        </w:rPr>
        <w:t>的规定，甲乙双方同意按照下述的条款和条件，签署本合同。</w:t>
      </w:r>
    </w:p>
    <w:p w14:paraId="7D3613A0">
      <w:pPr>
        <w:spacing w:line="360" w:lineRule="auto"/>
        <w:ind w:firstLine="420" w:firstLineChars="200"/>
        <w:rPr>
          <w:rFonts w:ascii="宋体" w:cs="宋体"/>
          <w:szCs w:val="21"/>
          <w:highlight w:val="none"/>
        </w:rPr>
      </w:pPr>
      <w:r>
        <w:rPr>
          <w:rFonts w:hint="eastAsia" w:ascii="宋体" w:cs="宋体"/>
          <w:szCs w:val="21"/>
          <w:highlight w:val="none"/>
        </w:rPr>
        <w:t>1、本合同文件</w:t>
      </w:r>
    </w:p>
    <w:p w14:paraId="5639713B">
      <w:pPr>
        <w:spacing w:line="360" w:lineRule="auto"/>
        <w:ind w:firstLine="420" w:firstLineChars="200"/>
        <w:rPr>
          <w:rFonts w:ascii="宋体" w:cs="宋体"/>
          <w:szCs w:val="21"/>
          <w:highlight w:val="none"/>
        </w:rPr>
      </w:pPr>
      <w:r>
        <w:rPr>
          <w:rFonts w:hint="eastAsia" w:ascii="宋体" w:cs="宋体"/>
          <w:szCs w:val="21"/>
          <w:highlight w:val="none"/>
        </w:rPr>
        <w:t>下列每一文件均应作为合同的组成部分进行阅读和解释：</w:t>
      </w:r>
    </w:p>
    <w:p w14:paraId="7B831FA0">
      <w:pPr>
        <w:spacing w:line="360" w:lineRule="auto"/>
        <w:ind w:firstLine="420" w:firstLineChars="200"/>
        <w:rPr>
          <w:rFonts w:ascii="宋体" w:cs="宋体"/>
          <w:szCs w:val="21"/>
          <w:highlight w:val="none"/>
        </w:rPr>
      </w:pPr>
      <w:r>
        <w:rPr>
          <w:rFonts w:hint="eastAsia" w:ascii="宋体" w:cs="宋体"/>
          <w:szCs w:val="21"/>
          <w:highlight w:val="none"/>
        </w:rPr>
        <w:t>（1）</w:t>
      </w:r>
      <w:r>
        <w:rPr>
          <w:rFonts w:hint="eastAsia" w:ascii="宋体" w:cs="宋体"/>
          <w:szCs w:val="21"/>
          <w:highlight w:val="none"/>
          <w:lang w:eastAsia="zh-CN"/>
        </w:rPr>
        <w:t>磋商</w:t>
      </w:r>
      <w:r>
        <w:rPr>
          <w:rFonts w:hint="eastAsia" w:ascii="宋体" w:cs="宋体"/>
          <w:szCs w:val="21"/>
          <w:highlight w:val="none"/>
        </w:rPr>
        <w:t>文件；（2）</w:t>
      </w:r>
      <w:r>
        <w:rPr>
          <w:rFonts w:hint="eastAsia" w:ascii="宋体" w:cs="宋体"/>
          <w:szCs w:val="21"/>
          <w:highlight w:val="none"/>
          <w:lang w:eastAsia="zh-CN"/>
        </w:rPr>
        <w:t>响应</w:t>
      </w:r>
      <w:r>
        <w:rPr>
          <w:rFonts w:hint="eastAsia" w:ascii="宋体" w:cs="宋体"/>
          <w:szCs w:val="21"/>
          <w:highlight w:val="none"/>
        </w:rPr>
        <w:t>文件；（3）</w:t>
      </w:r>
      <w:r>
        <w:rPr>
          <w:rFonts w:hint="eastAsia" w:ascii="宋体" w:cs="宋体"/>
          <w:szCs w:val="21"/>
          <w:highlight w:val="none"/>
          <w:lang w:eastAsia="zh-CN"/>
        </w:rPr>
        <w:t>成交</w:t>
      </w:r>
      <w:r>
        <w:rPr>
          <w:rFonts w:hint="eastAsia" w:ascii="宋体" w:cs="宋体"/>
          <w:szCs w:val="21"/>
          <w:highlight w:val="none"/>
        </w:rPr>
        <w:t>通知书；（4）经双方确认进入合同的其它文件、补充条款或说明。</w:t>
      </w:r>
    </w:p>
    <w:p w14:paraId="2D44716A">
      <w:pPr>
        <w:spacing w:line="360" w:lineRule="auto"/>
        <w:ind w:firstLine="420" w:firstLineChars="200"/>
        <w:rPr>
          <w:rFonts w:ascii="宋体" w:cs="宋体"/>
          <w:szCs w:val="21"/>
          <w:highlight w:val="none"/>
        </w:rPr>
      </w:pPr>
      <w:r>
        <w:rPr>
          <w:rFonts w:hint="eastAsia" w:ascii="宋体" w:cs="宋体"/>
          <w:szCs w:val="21"/>
          <w:highlight w:val="none"/>
        </w:rPr>
        <w:t>2、采购标的、数量、质量要求、服务要求。</w:t>
      </w:r>
    </w:p>
    <w:p w14:paraId="20E6374D">
      <w:pPr>
        <w:spacing w:line="360" w:lineRule="auto"/>
        <w:ind w:firstLine="420" w:firstLineChars="200"/>
        <w:rPr>
          <w:rFonts w:ascii="宋体" w:cs="宋体"/>
          <w:szCs w:val="21"/>
          <w:highlight w:val="none"/>
        </w:rPr>
      </w:pPr>
      <w:r>
        <w:rPr>
          <w:rFonts w:hint="eastAsia" w:ascii="宋体" w:cs="宋体"/>
          <w:szCs w:val="21"/>
          <w:highlight w:val="none"/>
        </w:rPr>
        <w:t>3、合同总价</w:t>
      </w:r>
    </w:p>
    <w:p w14:paraId="156DF3E1">
      <w:pPr>
        <w:spacing w:line="360" w:lineRule="auto"/>
        <w:ind w:firstLine="420" w:firstLineChars="200"/>
        <w:rPr>
          <w:rFonts w:ascii="宋体" w:cs="宋体"/>
          <w:szCs w:val="21"/>
          <w:highlight w:val="none"/>
        </w:rPr>
      </w:pPr>
      <w:r>
        <w:rPr>
          <w:rFonts w:hint="eastAsia" w:ascii="宋体" w:cs="宋体"/>
          <w:szCs w:val="21"/>
          <w:highlight w:val="none"/>
        </w:rPr>
        <w:t xml:space="preserve">合同总价为 </w:t>
      </w:r>
      <w:r>
        <w:rPr>
          <w:rFonts w:hint="eastAsia" w:ascii="宋体" w:cs="宋体"/>
          <w:szCs w:val="21"/>
          <w:highlight w:val="none"/>
          <w:u w:val="single"/>
        </w:rPr>
        <w:t xml:space="preserve">        </w:t>
      </w:r>
      <w:r>
        <w:rPr>
          <w:rFonts w:hint="eastAsia" w:ascii="宋体" w:cs="宋体"/>
          <w:szCs w:val="21"/>
          <w:highlight w:val="none"/>
          <w:u w:val="single"/>
          <w:lang w:val="en-US" w:eastAsia="zh-CN"/>
        </w:rPr>
        <w:t xml:space="preserve">      </w:t>
      </w:r>
      <w:r>
        <w:rPr>
          <w:rFonts w:hint="eastAsia" w:ascii="宋体" w:cs="宋体"/>
          <w:szCs w:val="21"/>
          <w:highlight w:val="none"/>
        </w:rPr>
        <w:t>。</w:t>
      </w:r>
    </w:p>
    <w:p w14:paraId="08C7B790">
      <w:pPr>
        <w:spacing w:line="360" w:lineRule="auto"/>
        <w:ind w:firstLine="420" w:firstLineChars="200"/>
        <w:rPr>
          <w:rFonts w:ascii="黑体" w:eastAsia="黑体" w:cs="宋体"/>
          <w:b/>
          <w:bCs/>
          <w:szCs w:val="21"/>
          <w:highlight w:val="none"/>
        </w:rPr>
      </w:pPr>
      <w:r>
        <w:rPr>
          <w:rFonts w:hint="eastAsia" w:ascii="宋体" w:cs="宋体"/>
          <w:szCs w:val="21"/>
          <w:highlight w:val="none"/>
        </w:rPr>
        <w:t>4、付款方式</w:t>
      </w:r>
      <w:r>
        <w:rPr>
          <w:rFonts w:hint="eastAsia" w:ascii="黑体" w:eastAsia="黑体" w:cs="宋体"/>
          <w:b/>
          <w:bCs/>
          <w:szCs w:val="21"/>
          <w:highlight w:val="none"/>
        </w:rPr>
        <w:t>：</w:t>
      </w:r>
    </w:p>
    <w:p w14:paraId="2E410665">
      <w:pPr>
        <w:spacing w:line="360" w:lineRule="auto"/>
        <w:ind w:firstLine="420" w:firstLineChars="200"/>
        <w:rPr>
          <w:rFonts w:ascii="宋体" w:cs="宋体"/>
          <w:szCs w:val="21"/>
          <w:highlight w:val="none"/>
          <w:u w:val="single"/>
        </w:rPr>
      </w:pPr>
      <w:r>
        <w:rPr>
          <w:rFonts w:hint="eastAsia" w:ascii="宋体" w:cs="宋体"/>
          <w:szCs w:val="21"/>
          <w:highlight w:val="none"/>
          <w:u w:val="single"/>
        </w:rPr>
        <w:t>1）</w:t>
      </w:r>
      <w:r>
        <w:rPr>
          <w:rFonts w:hint="eastAsia" w:ascii="宋体" w:cs="宋体"/>
          <w:szCs w:val="21"/>
          <w:highlight w:val="none"/>
          <w:u w:val="single"/>
          <w:lang w:val="en-US" w:eastAsia="zh-CN"/>
        </w:rPr>
        <w:t xml:space="preserve">                                             </w:t>
      </w:r>
    </w:p>
    <w:p w14:paraId="073762BB">
      <w:pPr>
        <w:spacing w:line="360" w:lineRule="auto"/>
        <w:ind w:firstLine="420" w:firstLineChars="200"/>
        <w:rPr>
          <w:rFonts w:ascii="宋体" w:cs="宋体"/>
          <w:szCs w:val="21"/>
          <w:highlight w:val="none"/>
          <w:u w:val="single"/>
        </w:rPr>
      </w:pPr>
      <w:r>
        <w:rPr>
          <w:rFonts w:hint="eastAsia" w:ascii="宋体" w:cs="宋体"/>
          <w:szCs w:val="21"/>
          <w:highlight w:val="none"/>
          <w:u w:val="single"/>
        </w:rPr>
        <w:t>2）</w:t>
      </w:r>
      <w:r>
        <w:rPr>
          <w:rFonts w:hint="eastAsia" w:ascii="宋体" w:cs="宋体"/>
          <w:szCs w:val="21"/>
          <w:highlight w:val="none"/>
          <w:u w:val="single"/>
          <w:lang w:val="en-US" w:eastAsia="zh-CN"/>
        </w:rPr>
        <w:t xml:space="preserve">                                             </w:t>
      </w:r>
    </w:p>
    <w:p w14:paraId="701786AE">
      <w:pPr>
        <w:spacing w:line="360" w:lineRule="auto"/>
        <w:ind w:firstLine="420" w:firstLineChars="200"/>
        <w:rPr>
          <w:rFonts w:ascii="宋体" w:cs="宋体"/>
          <w:szCs w:val="21"/>
          <w:highlight w:val="none"/>
        </w:rPr>
      </w:pPr>
      <w:r>
        <w:rPr>
          <w:rFonts w:hint="eastAsia" w:ascii="宋体" w:cs="宋体"/>
          <w:szCs w:val="21"/>
          <w:highlight w:val="none"/>
        </w:rPr>
        <w:t>5、合同供货（服务）期限及地点和方式：                                         。</w:t>
      </w:r>
    </w:p>
    <w:p w14:paraId="711C2C76">
      <w:pPr>
        <w:spacing w:line="360" w:lineRule="auto"/>
        <w:ind w:firstLine="420" w:firstLineChars="200"/>
        <w:rPr>
          <w:rFonts w:ascii="宋体" w:cs="宋体"/>
          <w:szCs w:val="21"/>
          <w:highlight w:val="none"/>
        </w:rPr>
      </w:pPr>
      <w:r>
        <w:rPr>
          <w:rFonts w:hint="eastAsia" w:ascii="宋体" w:cs="宋体"/>
          <w:szCs w:val="21"/>
          <w:highlight w:val="none"/>
        </w:rPr>
        <w:t>6、验收要求及违约责任</w:t>
      </w:r>
    </w:p>
    <w:p w14:paraId="4E8D115E">
      <w:pPr>
        <w:spacing w:line="360" w:lineRule="auto"/>
        <w:ind w:firstLine="420" w:firstLineChars="200"/>
        <w:rPr>
          <w:rFonts w:ascii="宋体" w:cs="宋体"/>
          <w:szCs w:val="21"/>
          <w:highlight w:val="none"/>
        </w:rPr>
      </w:pPr>
      <w:r>
        <w:rPr>
          <w:rFonts w:hint="eastAsia" w:ascii="宋体" w:cs="宋体"/>
          <w:szCs w:val="21"/>
          <w:highlight w:val="none"/>
        </w:rPr>
        <w:t>7、违约责任及解决争议方法</w:t>
      </w:r>
    </w:p>
    <w:p w14:paraId="5CC06250">
      <w:pPr>
        <w:spacing w:line="360" w:lineRule="auto"/>
        <w:ind w:firstLine="420" w:firstLineChars="200"/>
        <w:rPr>
          <w:rFonts w:ascii="宋体" w:cs="宋体"/>
          <w:szCs w:val="21"/>
          <w:highlight w:val="none"/>
        </w:rPr>
      </w:pPr>
      <w:r>
        <w:rPr>
          <w:rFonts w:hint="eastAsia" w:ascii="宋体" w:cs="宋体"/>
          <w:szCs w:val="21"/>
          <w:highlight w:val="none"/>
        </w:rPr>
        <w:t>8、合同的生效</w:t>
      </w:r>
    </w:p>
    <w:p w14:paraId="53CEAC6D">
      <w:pPr>
        <w:pStyle w:val="11"/>
        <w:spacing w:after="0" w:line="360" w:lineRule="auto"/>
        <w:ind w:left="0" w:leftChars="0" w:firstLine="420" w:firstLineChars="200"/>
        <w:rPr>
          <w:rFonts w:hint="eastAsia" w:ascii="宋体" w:hAnsi="宋体" w:eastAsia="宋体" w:cs="宋体"/>
          <w:kern w:val="0"/>
          <w:sz w:val="21"/>
          <w:szCs w:val="21"/>
          <w:highlight w:val="none"/>
          <w:u w:color="000000"/>
        </w:rPr>
      </w:pPr>
      <w:r>
        <w:rPr>
          <w:rFonts w:hint="eastAsia" w:ascii="宋体" w:hAnsi="宋体" w:eastAsia="宋体" w:cs="宋体"/>
          <w:kern w:val="0"/>
          <w:sz w:val="21"/>
          <w:szCs w:val="21"/>
          <w:highlight w:val="none"/>
          <w:u w:color="000000"/>
        </w:rPr>
        <w:t>合同经双方授权代表签署，买卖双方加盖印章之后生效。</w:t>
      </w:r>
    </w:p>
    <w:p w14:paraId="0C471A94">
      <w:pPr>
        <w:pStyle w:val="11"/>
        <w:spacing w:after="0" w:line="360" w:lineRule="auto"/>
        <w:ind w:left="0" w:leftChars="0" w:firstLine="420" w:firstLineChars="200"/>
        <w:rPr>
          <w:rFonts w:hint="eastAsia" w:ascii="宋体" w:hAnsi="宋体" w:eastAsia="宋体" w:cs="宋体"/>
          <w:kern w:val="0"/>
          <w:sz w:val="21"/>
          <w:szCs w:val="21"/>
          <w:highlight w:val="none"/>
          <w:u w:color="000000"/>
        </w:rPr>
      </w:pPr>
      <w:r>
        <w:rPr>
          <w:rFonts w:hint="eastAsia" w:ascii="宋体" w:hAnsi="宋体" w:eastAsia="宋体" w:cs="宋体"/>
          <w:kern w:val="0"/>
          <w:sz w:val="21"/>
          <w:szCs w:val="21"/>
          <w:highlight w:val="none"/>
          <w:u w:color="000000"/>
        </w:rPr>
        <w:t>本合同一式捌份，双方各执叁份，公管局和代理机构各壹份。</w:t>
      </w:r>
    </w:p>
    <w:p w14:paraId="6E089B78">
      <w:pPr>
        <w:pStyle w:val="11"/>
        <w:spacing w:after="0"/>
        <w:ind w:left="0" w:leftChars="0" w:firstLine="420" w:firstLineChars="200"/>
        <w:rPr>
          <w:rFonts w:hint="eastAsia" w:ascii="宋体" w:hAnsi="宋体" w:eastAsia="宋体" w:cs="宋体"/>
          <w:kern w:val="0"/>
          <w:sz w:val="21"/>
          <w:szCs w:val="21"/>
          <w:highlight w:val="none"/>
          <w:u w:color="000000"/>
        </w:rPr>
      </w:pPr>
      <w:r>
        <w:rPr>
          <w:rFonts w:hint="eastAsia" w:ascii="宋体" w:hAnsi="宋体" w:eastAsia="宋体" w:cs="宋体"/>
          <w:kern w:val="0"/>
          <w:sz w:val="21"/>
          <w:szCs w:val="21"/>
          <w:highlight w:val="none"/>
          <w:u w:color="000000"/>
        </w:rPr>
        <w:t>买  方：                          卖  方：</w:t>
      </w:r>
    </w:p>
    <w:p w14:paraId="3B287058">
      <w:pPr>
        <w:pStyle w:val="11"/>
        <w:spacing w:after="0"/>
        <w:ind w:left="0" w:leftChars="0" w:firstLine="420" w:firstLineChars="200"/>
        <w:rPr>
          <w:rFonts w:hint="eastAsia" w:ascii="宋体" w:hAnsi="宋体" w:eastAsia="宋体" w:cs="宋体"/>
          <w:kern w:val="0"/>
          <w:sz w:val="21"/>
          <w:szCs w:val="21"/>
          <w:highlight w:val="none"/>
          <w:u w:color="000000"/>
        </w:rPr>
      </w:pPr>
      <w:r>
        <w:rPr>
          <w:rFonts w:hint="eastAsia" w:ascii="宋体" w:hAnsi="宋体" w:eastAsia="宋体" w:cs="宋体"/>
          <w:kern w:val="0"/>
          <w:sz w:val="21"/>
          <w:szCs w:val="21"/>
          <w:highlight w:val="none"/>
          <w:u w:color="000000"/>
        </w:rPr>
        <w:t>名  称：（盖章）                  名  称：（盖章）</w:t>
      </w:r>
    </w:p>
    <w:p w14:paraId="5FFFED37">
      <w:pPr>
        <w:pStyle w:val="11"/>
        <w:spacing w:after="0"/>
        <w:ind w:left="0" w:leftChars="0" w:firstLine="420" w:firstLineChars="200"/>
        <w:rPr>
          <w:rFonts w:hint="eastAsia" w:ascii="宋体" w:hAnsi="宋体" w:eastAsia="宋体" w:cs="宋体"/>
          <w:kern w:val="0"/>
          <w:sz w:val="21"/>
          <w:szCs w:val="21"/>
          <w:highlight w:val="none"/>
          <w:u w:color="000000"/>
        </w:rPr>
      </w:pPr>
      <w:r>
        <w:rPr>
          <w:rFonts w:hint="eastAsia" w:ascii="宋体" w:hAnsi="宋体" w:eastAsia="宋体" w:cs="宋体"/>
          <w:kern w:val="0"/>
          <w:sz w:val="21"/>
          <w:szCs w:val="21"/>
          <w:highlight w:val="none"/>
          <w:u w:color="000000"/>
        </w:rPr>
        <w:t>法定代表人（或委托代理人）：      法定代表人（或委托代理人）：</w:t>
      </w:r>
    </w:p>
    <w:p w14:paraId="118E8B1F">
      <w:pPr>
        <w:pStyle w:val="11"/>
        <w:spacing w:after="0"/>
        <w:ind w:left="0" w:leftChars="0" w:firstLine="420" w:firstLineChars="200"/>
        <w:rPr>
          <w:rFonts w:hint="eastAsia" w:ascii="宋体" w:hAnsi="宋体" w:eastAsia="宋体" w:cs="宋体"/>
          <w:kern w:val="0"/>
          <w:sz w:val="21"/>
          <w:szCs w:val="21"/>
          <w:highlight w:val="none"/>
          <w:u w:color="000000"/>
        </w:rPr>
      </w:pPr>
      <w:r>
        <w:rPr>
          <w:rFonts w:hint="eastAsia" w:ascii="宋体" w:hAnsi="宋体" w:eastAsia="宋体" w:cs="宋体"/>
          <w:kern w:val="0"/>
          <w:sz w:val="21"/>
          <w:szCs w:val="21"/>
          <w:highlight w:val="none"/>
          <w:u w:color="000000"/>
        </w:rPr>
        <w:t>（签字）                        （签字）</w:t>
      </w:r>
    </w:p>
    <w:p w14:paraId="27949A20">
      <w:pPr>
        <w:pStyle w:val="11"/>
        <w:spacing w:after="0"/>
        <w:ind w:left="0" w:leftChars="0" w:firstLine="420" w:firstLineChars="200"/>
        <w:rPr>
          <w:rFonts w:hint="eastAsia" w:ascii="宋体" w:hAnsi="宋体" w:eastAsia="宋体" w:cs="宋体"/>
          <w:kern w:val="0"/>
          <w:sz w:val="21"/>
          <w:szCs w:val="21"/>
          <w:highlight w:val="none"/>
          <w:u w:color="000000"/>
        </w:rPr>
      </w:pPr>
      <w:r>
        <w:rPr>
          <w:rFonts w:hint="eastAsia" w:ascii="宋体" w:hAnsi="宋体" w:eastAsia="宋体" w:cs="宋体"/>
          <w:kern w:val="0"/>
          <w:sz w:val="21"/>
          <w:szCs w:val="21"/>
          <w:highlight w:val="none"/>
          <w:u w:color="000000"/>
        </w:rPr>
        <w:t>地    址：                        地    址：</w:t>
      </w:r>
    </w:p>
    <w:p w14:paraId="53A20FAC">
      <w:pPr>
        <w:pStyle w:val="11"/>
        <w:spacing w:after="0"/>
        <w:ind w:left="0" w:leftChars="0" w:firstLine="420" w:firstLineChars="200"/>
        <w:rPr>
          <w:rFonts w:hint="eastAsia" w:ascii="宋体" w:hAnsi="宋体" w:eastAsia="宋体" w:cs="宋体"/>
          <w:kern w:val="0"/>
          <w:sz w:val="21"/>
          <w:szCs w:val="21"/>
          <w:highlight w:val="none"/>
          <w:u w:color="000000"/>
        </w:rPr>
      </w:pPr>
      <w:r>
        <w:rPr>
          <w:rFonts w:hint="eastAsia" w:ascii="宋体" w:hAnsi="宋体" w:eastAsia="宋体" w:cs="宋体"/>
          <w:kern w:val="0"/>
          <w:sz w:val="21"/>
          <w:szCs w:val="21"/>
          <w:highlight w:val="none"/>
          <w:u w:color="000000"/>
        </w:rPr>
        <w:t>电    话：                        电    话：</w:t>
      </w:r>
    </w:p>
    <w:p w14:paraId="7D137FE9">
      <w:pPr>
        <w:pStyle w:val="11"/>
        <w:spacing w:after="0"/>
        <w:ind w:left="0" w:leftChars="0" w:firstLine="420" w:firstLineChars="200"/>
        <w:rPr>
          <w:rFonts w:hint="eastAsia" w:ascii="宋体" w:hAnsi="宋体" w:eastAsia="宋体" w:cs="宋体"/>
          <w:kern w:val="0"/>
          <w:sz w:val="21"/>
          <w:szCs w:val="21"/>
          <w:highlight w:val="none"/>
          <w:u w:color="000000"/>
        </w:rPr>
      </w:pPr>
      <w:r>
        <w:rPr>
          <w:rFonts w:hint="eastAsia" w:ascii="宋体" w:hAnsi="宋体" w:eastAsia="宋体" w:cs="宋体"/>
          <w:kern w:val="0"/>
          <w:sz w:val="21"/>
          <w:szCs w:val="21"/>
          <w:highlight w:val="none"/>
          <w:u w:color="000000"/>
        </w:rPr>
        <w:t>开户银行：                        开户银行：</w:t>
      </w:r>
    </w:p>
    <w:p w14:paraId="1A43590C">
      <w:pPr>
        <w:pStyle w:val="11"/>
        <w:spacing w:after="0"/>
        <w:ind w:left="0" w:leftChars="0" w:firstLine="420" w:firstLineChars="200"/>
        <w:rPr>
          <w:rFonts w:asciiTheme="majorEastAsia" w:hAnsiTheme="majorEastAsia" w:eastAsiaTheme="majorEastAsia" w:cstheme="majorEastAsia"/>
          <w:b/>
          <w:bCs/>
          <w:sz w:val="36"/>
          <w:szCs w:val="36"/>
          <w:highlight w:val="none"/>
        </w:rPr>
      </w:pPr>
      <w:r>
        <w:rPr>
          <w:rFonts w:hint="eastAsia" w:ascii="宋体" w:hAnsi="宋体" w:eastAsia="宋体" w:cs="宋体"/>
          <w:kern w:val="0"/>
          <w:sz w:val="21"/>
          <w:szCs w:val="21"/>
          <w:highlight w:val="none"/>
          <w:u w:color="000000"/>
        </w:rPr>
        <w:t>帐    号：                        帐    号：</w:t>
      </w:r>
    </w:p>
    <w:p w14:paraId="32F9E3B9">
      <w:pPr>
        <w:pStyle w:val="38"/>
        <w:tabs>
          <w:tab w:val="left" w:pos="1218"/>
        </w:tabs>
        <w:ind w:firstLine="0" w:firstLineChars="0"/>
        <w:jc w:val="center"/>
        <w:outlineLvl w:val="0"/>
        <w:rPr>
          <w:rFonts w:asciiTheme="majorEastAsia" w:hAnsiTheme="majorEastAsia" w:eastAsiaTheme="majorEastAsia" w:cstheme="majorEastAsia"/>
          <w:b/>
          <w:bCs/>
          <w:sz w:val="32"/>
          <w:szCs w:val="32"/>
          <w:highlight w:val="none"/>
        </w:rPr>
      </w:pPr>
      <w:bookmarkStart w:id="120" w:name="_Toc11221"/>
      <w:bookmarkStart w:id="121" w:name="_Toc20546"/>
      <w:r>
        <w:rPr>
          <w:rFonts w:hint="eastAsia" w:asciiTheme="majorEastAsia" w:hAnsiTheme="majorEastAsia" w:eastAsiaTheme="majorEastAsia" w:cstheme="majorEastAsia"/>
          <w:b/>
          <w:bCs/>
          <w:sz w:val="32"/>
          <w:szCs w:val="32"/>
          <w:highlight w:val="none"/>
        </w:rPr>
        <w:t>第六章  响应文件格式</w:t>
      </w:r>
      <w:bookmarkEnd w:id="116"/>
      <w:bookmarkEnd w:id="117"/>
      <w:bookmarkEnd w:id="118"/>
      <w:bookmarkEnd w:id="119"/>
      <w:bookmarkEnd w:id="120"/>
      <w:bookmarkEnd w:id="121"/>
    </w:p>
    <w:p w14:paraId="507F5DF4">
      <w:pPr>
        <w:jc w:val="right"/>
        <w:rPr>
          <w:rFonts w:ascii="宋体" w:hAnsi="宋体" w:cs="宋体"/>
          <w:b/>
          <w:sz w:val="32"/>
          <w:szCs w:val="32"/>
          <w:highlight w:val="none"/>
        </w:rPr>
      </w:pPr>
    </w:p>
    <w:p w14:paraId="1429EDF1">
      <w:pPr>
        <w:jc w:val="right"/>
        <w:rPr>
          <w:rFonts w:ascii="宋体" w:hAnsi="宋体" w:cs="宋体"/>
          <w:b/>
          <w:sz w:val="32"/>
          <w:szCs w:val="32"/>
          <w:highlight w:val="none"/>
        </w:rPr>
      </w:pPr>
    </w:p>
    <w:p w14:paraId="3EDCDEEA">
      <w:pPr>
        <w:jc w:val="right"/>
        <w:rPr>
          <w:rFonts w:ascii="宋体" w:hAnsi="宋体" w:cs="宋体"/>
          <w:b/>
          <w:sz w:val="40"/>
          <w:szCs w:val="40"/>
          <w:highlight w:val="none"/>
        </w:rPr>
      </w:pPr>
    </w:p>
    <w:p w14:paraId="7ABF4F89">
      <w:pPr>
        <w:spacing w:line="1000" w:lineRule="exact"/>
        <w:jc w:val="both"/>
        <w:rPr>
          <w:rFonts w:ascii="宋体" w:hAnsi="宋体" w:cs="宋体"/>
          <w:b/>
          <w:bCs/>
          <w:sz w:val="44"/>
          <w:szCs w:val="44"/>
          <w:highlight w:val="none"/>
          <w:u w:val="single"/>
        </w:rPr>
      </w:pPr>
    </w:p>
    <w:p w14:paraId="5D78C6F4">
      <w:pPr>
        <w:spacing w:line="1000" w:lineRule="exact"/>
        <w:jc w:val="center"/>
        <w:rPr>
          <w:rFonts w:hint="eastAsia" w:ascii="宋体" w:hAnsi="宋体" w:cs="宋体"/>
          <w:b/>
          <w:bCs/>
          <w:sz w:val="44"/>
          <w:szCs w:val="44"/>
          <w:highlight w:val="none"/>
        </w:rPr>
      </w:pPr>
      <w:r>
        <w:rPr>
          <w:rFonts w:hint="eastAsia" w:ascii="宋体" w:hAnsi="宋体" w:cs="宋体"/>
          <w:b/>
          <w:bCs/>
          <w:sz w:val="44"/>
          <w:szCs w:val="44"/>
          <w:highlight w:val="none"/>
          <w:lang w:val="en-US" w:eastAsia="zh-CN"/>
        </w:rPr>
        <w:t>_______________</w:t>
      </w:r>
      <w:r>
        <w:rPr>
          <w:rFonts w:hint="eastAsia" w:ascii="宋体" w:hAnsi="宋体" w:cs="宋体"/>
          <w:b/>
          <w:bCs/>
          <w:sz w:val="44"/>
          <w:szCs w:val="44"/>
          <w:highlight w:val="none"/>
        </w:rPr>
        <w:t>项目</w:t>
      </w:r>
    </w:p>
    <w:p w14:paraId="5E575284">
      <w:pPr>
        <w:pStyle w:val="20"/>
        <w:jc w:val="center"/>
        <w:rPr>
          <w:rFonts w:hint="eastAsia" w:eastAsia="宋体"/>
          <w:sz w:val="28"/>
          <w:szCs w:val="24"/>
          <w:lang w:val="en-US" w:eastAsia="zh-CN"/>
        </w:rPr>
      </w:pPr>
      <w:r>
        <w:rPr>
          <w:rFonts w:hint="eastAsia"/>
          <w:sz w:val="28"/>
          <w:szCs w:val="24"/>
          <w:lang w:val="en-US" w:eastAsia="zh-CN"/>
        </w:rPr>
        <w:t>第_____包</w:t>
      </w:r>
    </w:p>
    <w:p w14:paraId="3BB35B4B">
      <w:pPr>
        <w:spacing w:line="360" w:lineRule="auto"/>
        <w:jc w:val="center"/>
        <w:rPr>
          <w:rFonts w:ascii="宋体" w:hAnsi="宋体" w:cs="宋体"/>
          <w:b/>
          <w:sz w:val="40"/>
          <w:szCs w:val="40"/>
          <w:highlight w:val="none"/>
        </w:rPr>
      </w:pPr>
    </w:p>
    <w:p w14:paraId="0E76358F">
      <w:pPr>
        <w:spacing w:line="360" w:lineRule="auto"/>
        <w:jc w:val="center"/>
        <w:rPr>
          <w:rFonts w:ascii="宋体" w:hAnsi="宋体" w:cs="宋体"/>
          <w:b/>
          <w:sz w:val="56"/>
          <w:szCs w:val="56"/>
          <w:highlight w:val="none"/>
        </w:rPr>
      </w:pPr>
      <w:r>
        <w:rPr>
          <w:rFonts w:hint="eastAsia" w:ascii="宋体" w:hAnsi="宋体" w:cs="宋体"/>
          <w:b/>
          <w:sz w:val="56"/>
          <w:szCs w:val="56"/>
          <w:highlight w:val="none"/>
        </w:rPr>
        <w:t>响 应 文 件</w:t>
      </w:r>
    </w:p>
    <w:p w14:paraId="2B02CFC6">
      <w:pPr>
        <w:spacing w:line="480" w:lineRule="auto"/>
        <w:jc w:val="center"/>
        <w:rPr>
          <w:rFonts w:ascii="宋体" w:hAnsi="宋体" w:cs="宋体"/>
          <w:b/>
          <w:sz w:val="56"/>
          <w:szCs w:val="56"/>
          <w:highlight w:val="none"/>
        </w:rPr>
      </w:pPr>
      <w:r>
        <w:rPr>
          <w:rFonts w:hint="eastAsia" w:ascii="宋体" w:hAnsi="宋体" w:cs="宋体"/>
          <w:b/>
          <w:sz w:val="24"/>
          <w:szCs w:val="24"/>
          <w:highlight w:val="none"/>
        </w:rPr>
        <w:t>（项目编号：        ）</w:t>
      </w:r>
    </w:p>
    <w:p w14:paraId="5FD19059">
      <w:pPr>
        <w:pStyle w:val="9"/>
        <w:adjustRightInd w:val="0"/>
        <w:snapToGrid w:val="0"/>
        <w:spacing w:before="62" w:beforeLines="20" w:after="62" w:afterLines="20" w:line="540" w:lineRule="exact"/>
        <w:jc w:val="center"/>
        <w:rPr>
          <w:rFonts w:hAnsi="宋体" w:cs="宋体"/>
          <w:sz w:val="24"/>
          <w:szCs w:val="18"/>
          <w:highlight w:val="none"/>
        </w:rPr>
      </w:pPr>
    </w:p>
    <w:p w14:paraId="7E31F67C">
      <w:pPr>
        <w:pStyle w:val="9"/>
        <w:adjustRightInd w:val="0"/>
        <w:snapToGrid w:val="0"/>
        <w:spacing w:before="62" w:beforeLines="20" w:after="62" w:afterLines="20" w:line="540" w:lineRule="exact"/>
        <w:jc w:val="center"/>
        <w:rPr>
          <w:rFonts w:hAnsi="宋体" w:cs="宋体"/>
          <w:sz w:val="24"/>
          <w:szCs w:val="18"/>
          <w:highlight w:val="none"/>
        </w:rPr>
      </w:pPr>
    </w:p>
    <w:p w14:paraId="47BBE228">
      <w:pPr>
        <w:pStyle w:val="9"/>
        <w:adjustRightInd w:val="0"/>
        <w:snapToGrid w:val="0"/>
        <w:spacing w:before="62" w:beforeLines="20" w:after="62" w:afterLines="20" w:line="540" w:lineRule="exact"/>
        <w:rPr>
          <w:rFonts w:hAnsi="宋体" w:cs="宋体"/>
          <w:sz w:val="24"/>
          <w:szCs w:val="18"/>
          <w:highlight w:val="none"/>
        </w:rPr>
      </w:pPr>
    </w:p>
    <w:p w14:paraId="3A99EDA2">
      <w:pPr>
        <w:pStyle w:val="9"/>
        <w:adjustRightInd w:val="0"/>
        <w:snapToGrid w:val="0"/>
        <w:spacing w:before="62" w:beforeLines="20" w:after="62" w:afterLines="20" w:line="540" w:lineRule="exact"/>
        <w:jc w:val="center"/>
        <w:rPr>
          <w:rFonts w:hAnsi="宋体" w:cs="宋体"/>
          <w:sz w:val="24"/>
          <w:szCs w:val="18"/>
          <w:highlight w:val="none"/>
        </w:rPr>
      </w:pPr>
    </w:p>
    <w:p w14:paraId="15B2CB51">
      <w:pPr>
        <w:pStyle w:val="9"/>
        <w:adjustRightInd w:val="0"/>
        <w:snapToGrid w:val="0"/>
        <w:spacing w:before="62" w:beforeLines="20" w:after="62" w:afterLines="20" w:line="540" w:lineRule="exact"/>
        <w:jc w:val="center"/>
        <w:rPr>
          <w:rFonts w:hAnsi="宋体" w:cs="宋体"/>
          <w:sz w:val="24"/>
          <w:szCs w:val="18"/>
          <w:highlight w:val="none"/>
        </w:rPr>
      </w:pPr>
    </w:p>
    <w:p w14:paraId="6A06CBF9">
      <w:pPr>
        <w:pStyle w:val="13"/>
        <w:adjustRightInd w:val="0"/>
        <w:snapToGrid w:val="0"/>
        <w:spacing w:before="62" w:beforeLines="20" w:after="62" w:afterLines="20" w:line="540" w:lineRule="exact"/>
        <w:ind w:left="197" w:leftChars="94" w:firstLine="482" w:firstLineChars="200"/>
        <w:rPr>
          <w:rFonts w:ascii="宋体" w:hAnsi="宋体" w:cs="宋体"/>
          <w:b/>
          <w:bCs/>
          <w:sz w:val="24"/>
          <w:highlight w:val="none"/>
          <w:u w:val="single"/>
        </w:rPr>
      </w:pPr>
      <w:r>
        <w:rPr>
          <w:rFonts w:hint="eastAsia" w:ascii="宋体" w:hAnsi="宋体" w:cs="宋体"/>
          <w:b/>
          <w:bCs/>
          <w:sz w:val="24"/>
          <w:highlight w:val="none"/>
        </w:rPr>
        <w:t>项目名称：</w:t>
      </w:r>
    </w:p>
    <w:p w14:paraId="33B970F5">
      <w:pPr>
        <w:pStyle w:val="13"/>
        <w:adjustRightInd w:val="0"/>
        <w:snapToGrid w:val="0"/>
        <w:spacing w:before="62" w:beforeLines="20" w:after="62" w:afterLines="20" w:line="540" w:lineRule="exact"/>
        <w:ind w:left="197" w:leftChars="94" w:firstLine="482" w:firstLineChars="200"/>
        <w:rPr>
          <w:rFonts w:ascii="宋体" w:hAnsi="宋体" w:cs="宋体"/>
          <w:b/>
          <w:bCs/>
          <w:sz w:val="24"/>
          <w:highlight w:val="none"/>
          <w:u w:val="single"/>
        </w:rPr>
      </w:pPr>
      <w:r>
        <w:rPr>
          <w:rFonts w:hint="eastAsia" w:ascii="宋体" w:hAnsi="宋体" w:cs="宋体"/>
          <w:b/>
          <w:bCs/>
          <w:sz w:val="24"/>
          <w:highlight w:val="none"/>
        </w:rPr>
        <w:t>供应商名称：（盖章）</w:t>
      </w:r>
    </w:p>
    <w:p w14:paraId="4F728487">
      <w:pPr>
        <w:adjustRightInd w:val="0"/>
        <w:snapToGrid w:val="0"/>
        <w:spacing w:before="62" w:beforeLines="20" w:after="62" w:afterLines="20" w:line="540" w:lineRule="exact"/>
        <w:rPr>
          <w:rFonts w:ascii="宋体" w:hAnsi="宋体" w:cs="宋体"/>
          <w:b/>
          <w:sz w:val="24"/>
          <w:szCs w:val="24"/>
          <w:highlight w:val="none"/>
        </w:rPr>
      </w:pPr>
    </w:p>
    <w:p w14:paraId="16885319">
      <w:pPr>
        <w:pStyle w:val="20"/>
      </w:pPr>
    </w:p>
    <w:p w14:paraId="49E07FDA">
      <w:pPr>
        <w:adjustRightInd w:val="0"/>
        <w:snapToGrid w:val="0"/>
        <w:spacing w:before="62" w:beforeLines="20" w:after="62" w:afterLines="20" w:line="540" w:lineRule="exact"/>
        <w:jc w:val="center"/>
        <w:rPr>
          <w:rFonts w:ascii="宋体" w:hAnsi="宋体" w:cs="宋体"/>
          <w:b/>
          <w:sz w:val="24"/>
          <w:szCs w:val="24"/>
          <w:highlight w:val="none"/>
        </w:rPr>
      </w:pPr>
      <w:r>
        <w:rPr>
          <w:rFonts w:hint="eastAsia" w:ascii="宋体" w:hAnsi="宋体" w:cs="宋体"/>
          <w:b/>
          <w:sz w:val="24"/>
          <w:szCs w:val="24"/>
          <w:highlight w:val="none"/>
        </w:rPr>
        <w:t>日  期： 年 月  日</w:t>
      </w:r>
    </w:p>
    <w:p w14:paraId="0AF55D7D">
      <w:pPr>
        <w:pStyle w:val="27"/>
        <w:ind w:left="0" w:firstLine="0" w:firstLineChars="0"/>
        <w:rPr>
          <w:rFonts w:ascii="宋体" w:hAnsi="宋体" w:eastAsia="宋体" w:cs="宋体"/>
          <w:b/>
          <w:sz w:val="24"/>
          <w:szCs w:val="24"/>
          <w:highlight w:val="none"/>
        </w:rPr>
      </w:pPr>
    </w:p>
    <w:p w14:paraId="29967042">
      <w:pPr>
        <w:pStyle w:val="25"/>
        <w:jc w:val="both"/>
        <w:rPr>
          <w:rFonts w:hint="eastAsia" w:ascii="宋体" w:hAnsi="宋体" w:eastAsia="宋体" w:cs="宋体"/>
          <w:highlight w:val="none"/>
        </w:rPr>
      </w:pPr>
      <w:bookmarkStart w:id="122" w:name="_Toc2456"/>
    </w:p>
    <w:p w14:paraId="613A4623">
      <w:pPr>
        <w:pStyle w:val="25"/>
        <w:jc w:val="center"/>
        <w:rPr>
          <w:rFonts w:hint="eastAsia" w:ascii="宋体" w:hAnsi="宋体" w:eastAsia="宋体" w:cs="宋体"/>
          <w:sz w:val="28"/>
          <w:szCs w:val="21"/>
          <w:highlight w:val="none"/>
        </w:rPr>
      </w:pPr>
      <w:r>
        <w:rPr>
          <w:rFonts w:hint="eastAsia" w:ascii="宋体" w:hAnsi="宋体" w:eastAsia="宋体" w:cs="宋体"/>
          <w:sz w:val="28"/>
          <w:szCs w:val="21"/>
          <w:highlight w:val="none"/>
        </w:rPr>
        <w:t>响应文件资料清单</w:t>
      </w:r>
    </w:p>
    <w:p w14:paraId="68956B45">
      <w:pPr>
        <w:rPr>
          <w:rFonts w:hint="eastAsia"/>
          <w:highlight w:val="none"/>
        </w:rPr>
      </w:pP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5984"/>
        <w:gridCol w:w="2448"/>
      </w:tblGrid>
      <w:tr w14:paraId="607B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207" w:type="dxa"/>
            <w:noWrap w:val="0"/>
            <w:vAlign w:val="center"/>
          </w:tcPr>
          <w:p w14:paraId="0E2F5F89">
            <w:pPr>
              <w:spacing w:line="400" w:lineRule="exact"/>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5984" w:type="dxa"/>
            <w:noWrap w:val="0"/>
            <w:vAlign w:val="center"/>
          </w:tcPr>
          <w:p w14:paraId="41302E53">
            <w:pPr>
              <w:spacing w:line="400" w:lineRule="exact"/>
              <w:jc w:val="center"/>
              <w:rPr>
                <w:rFonts w:hint="eastAsia" w:ascii="宋体" w:hAnsi="宋体" w:eastAsia="宋体" w:cs="宋体"/>
                <w:b/>
                <w:sz w:val="24"/>
                <w:highlight w:val="none"/>
              </w:rPr>
            </w:pPr>
            <w:r>
              <w:rPr>
                <w:rFonts w:hint="eastAsia" w:ascii="宋体" w:hAnsi="宋体" w:eastAsia="宋体" w:cs="宋体"/>
                <w:b/>
                <w:sz w:val="24"/>
                <w:highlight w:val="none"/>
              </w:rPr>
              <w:t>资料名称</w:t>
            </w:r>
          </w:p>
        </w:tc>
        <w:tc>
          <w:tcPr>
            <w:tcW w:w="2448" w:type="dxa"/>
            <w:noWrap w:val="0"/>
            <w:vAlign w:val="center"/>
          </w:tcPr>
          <w:p w14:paraId="5DA17329">
            <w:pPr>
              <w:spacing w:line="400" w:lineRule="exact"/>
              <w:jc w:val="center"/>
              <w:rPr>
                <w:rFonts w:hint="eastAsia" w:ascii="宋体" w:hAnsi="宋体" w:eastAsia="宋体" w:cs="宋体"/>
                <w:b/>
                <w:sz w:val="24"/>
                <w:highlight w:val="none"/>
              </w:rPr>
            </w:pPr>
            <w:r>
              <w:rPr>
                <w:rFonts w:hint="eastAsia" w:ascii="宋体" w:hAnsi="宋体" w:eastAsia="宋体" w:cs="宋体"/>
                <w:b/>
                <w:sz w:val="24"/>
                <w:highlight w:val="none"/>
              </w:rPr>
              <w:t>页码范围</w:t>
            </w:r>
          </w:p>
        </w:tc>
      </w:tr>
      <w:tr w14:paraId="7DD9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207" w:type="dxa"/>
            <w:noWrap w:val="0"/>
            <w:vAlign w:val="center"/>
          </w:tcPr>
          <w:p w14:paraId="4C9CAC75">
            <w:pPr>
              <w:jc w:val="center"/>
              <w:rPr>
                <w:rFonts w:hint="eastAsia" w:ascii="宋体" w:hAnsi="宋体" w:eastAsia="宋体" w:cs="宋体"/>
                <w:sz w:val="24"/>
                <w:highlight w:val="none"/>
              </w:rPr>
            </w:pPr>
            <w:r>
              <w:rPr>
                <w:rFonts w:hint="eastAsia" w:ascii="宋体" w:hAnsi="宋体" w:eastAsia="宋体" w:cs="宋体"/>
                <w:sz w:val="24"/>
                <w:highlight w:val="none"/>
              </w:rPr>
              <w:t>一</w:t>
            </w:r>
          </w:p>
        </w:tc>
        <w:tc>
          <w:tcPr>
            <w:tcW w:w="5984" w:type="dxa"/>
            <w:noWrap w:val="0"/>
            <w:vAlign w:val="center"/>
          </w:tcPr>
          <w:p w14:paraId="3287EFBF">
            <w:pPr>
              <w:jc w:val="center"/>
              <w:rPr>
                <w:rFonts w:hint="eastAsia" w:ascii="宋体" w:hAnsi="宋体" w:eastAsia="宋体" w:cs="宋体"/>
                <w:highlight w:val="none"/>
                <w:u w:val="single"/>
              </w:rPr>
            </w:pPr>
            <w:r>
              <w:rPr>
                <w:rFonts w:hint="eastAsia" w:ascii="宋体" w:hAnsi="宋体" w:eastAsia="宋体" w:cs="宋体"/>
                <w:bCs/>
                <w:sz w:val="24"/>
                <w:highlight w:val="none"/>
              </w:rPr>
              <w:t>响应函</w:t>
            </w:r>
          </w:p>
        </w:tc>
        <w:tc>
          <w:tcPr>
            <w:tcW w:w="2448" w:type="dxa"/>
            <w:noWrap w:val="0"/>
            <w:vAlign w:val="center"/>
          </w:tcPr>
          <w:p w14:paraId="265C0D66">
            <w:pPr>
              <w:spacing w:line="360" w:lineRule="auto"/>
              <w:jc w:val="center"/>
              <w:rPr>
                <w:rFonts w:hint="eastAsia" w:ascii="宋体" w:hAnsi="宋体" w:eastAsia="宋体" w:cs="宋体"/>
                <w:b/>
                <w:sz w:val="24"/>
                <w:highlight w:val="none"/>
              </w:rPr>
            </w:pPr>
          </w:p>
        </w:tc>
      </w:tr>
      <w:tr w14:paraId="70DD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207" w:type="dxa"/>
            <w:noWrap w:val="0"/>
            <w:vAlign w:val="center"/>
          </w:tcPr>
          <w:p w14:paraId="3BE979CF">
            <w:pPr>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二</w:t>
            </w:r>
          </w:p>
        </w:tc>
        <w:tc>
          <w:tcPr>
            <w:tcW w:w="5984" w:type="dxa"/>
            <w:noWrap w:val="0"/>
            <w:vAlign w:val="center"/>
          </w:tcPr>
          <w:p w14:paraId="5AA6F669">
            <w:pPr>
              <w:jc w:val="center"/>
              <w:rPr>
                <w:rFonts w:hint="eastAsia" w:ascii="宋体" w:hAnsi="宋体" w:eastAsia="宋体" w:cs="宋体"/>
                <w:bCs/>
                <w:sz w:val="24"/>
                <w:highlight w:val="none"/>
                <w:lang w:eastAsia="zh-CN"/>
              </w:rPr>
            </w:pPr>
            <w:r>
              <w:rPr>
                <w:rFonts w:hint="eastAsia" w:ascii="宋体" w:hAnsi="宋体" w:eastAsia="宋体" w:cs="宋体"/>
                <w:bCs/>
                <w:sz w:val="24"/>
                <w:highlight w:val="none"/>
              </w:rPr>
              <w:t>开标一览表</w:t>
            </w:r>
          </w:p>
        </w:tc>
        <w:tc>
          <w:tcPr>
            <w:tcW w:w="2448" w:type="dxa"/>
            <w:noWrap w:val="0"/>
            <w:vAlign w:val="center"/>
          </w:tcPr>
          <w:p w14:paraId="596A2F85">
            <w:pPr>
              <w:spacing w:line="360" w:lineRule="auto"/>
              <w:jc w:val="center"/>
              <w:rPr>
                <w:rFonts w:hint="eastAsia" w:ascii="宋体" w:hAnsi="宋体" w:eastAsia="宋体" w:cs="宋体"/>
                <w:b/>
                <w:sz w:val="24"/>
                <w:highlight w:val="none"/>
              </w:rPr>
            </w:pPr>
          </w:p>
        </w:tc>
      </w:tr>
      <w:tr w14:paraId="7603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207" w:type="dxa"/>
            <w:noWrap w:val="0"/>
            <w:vAlign w:val="center"/>
          </w:tcPr>
          <w:p w14:paraId="6C427F93">
            <w:pPr>
              <w:jc w:val="center"/>
              <w:rPr>
                <w:rFonts w:hint="eastAsia" w:ascii="宋体" w:hAnsi="宋体" w:eastAsia="宋体" w:cs="宋体"/>
                <w:kern w:val="2"/>
                <w:sz w:val="24"/>
                <w:highlight w:val="none"/>
                <w:lang w:val="en-US" w:eastAsia="zh-CN" w:bidi="ar-SA"/>
              </w:rPr>
            </w:pPr>
            <w:r>
              <w:rPr>
                <w:rFonts w:hint="eastAsia" w:ascii="宋体" w:hAnsi="宋体" w:eastAsia="宋体" w:cs="宋体"/>
                <w:sz w:val="24"/>
                <w:highlight w:val="none"/>
                <w:lang w:eastAsia="zh-CN"/>
              </w:rPr>
              <w:t>三</w:t>
            </w:r>
          </w:p>
        </w:tc>
        <w:tc>
          <w:tcPr>
            <w:tcW w:w="5984" w:type="dxa"/>
            <w:noWrap w:val="0"/>
            <w:vAlign w:val="center"/>
          </w:tcPr>
          <w:p w14:paraId="0086ED08">
            <w:pPr>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诚信承诺书</w:t>
            </w:r>
          </w:p>
        </w:tc>
        <w:tc>
          <w:tcPr>
            <w:tcW w:w="2448" w:type="dxa"/>
            <w:noWrap w:val="0"/>
            <w:vAlign w:val="center"/>
          </w:tcPr>
          <w:p w14:paraId="702F4709">
            <w:pPr>
              <w:spacing w:line="360" w:lineRule="auto"/>
              <w:jc w:val="center"/>
              <w:rPr>
                <w:rFonts w:hint="eastAsia" w:ascii="宋体" w:hAnsi="宋体" w:eastAsia="宋体" w:cs="宋体"/>
                <w:b/>
                <w:sz w:val="24"/>
                <w:highlight w:val="none"/>
              </w:rPr>
            </w:pPr>
          </w:p>
        </w:tc>
      </w:tr>
      <w:tr w14:paraId="3788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207" w:type="dxa"/>
            <w:noWrap w:val="0"/>
            <w:vAlign w:val="center"/>
          </w:tcPr>
          <w:p w14:paraId="42F7C030">
            <w:pPr>
              <w:jc w:val="center"/>
              <w:rPr>
                <w:rFonts w:hint="eastAsia" w:ascii="宋体" w:hAnsi="宋体" w:eastAsia="宋体" w:cs="宋体"/>
                <w:kern w:val="2"/>
                <w:sz w:val="24"/>
                <w:highlight w:val="none"/>
                <w:lang w:val="en-US" w:eastAsia="zh-CN" w:bidi="ar-SA"/>
              </w:rPr>
            </w:pPr>
            <w:r>
              <w:rPr>
                <w:rFonts w:hint="eastAsia" w:ascii="宋体" w:hAnsi="宋体" w:eastAsia="宋体" w:cs="宋体"/>
                <w:sz w:val="24"/>
                <w:highlight w:val="none"/>
                <w:lang w:eastAsia="zh-CN"/>
              </w:rPr>
              <w:t>四</w:t>
            </w:r>
          </w:p>
        </w:tc>
        <w:tc>
          <w:tcPr>
            <w:tcW w:w="5984" w:type="dxa"/>
            <w:noWrap w:val="0"/>
            <w:vAlign w:val="center"/>
          </w:tcPr>
          <w:p w14:paraId="479B7221">
            <w:pPr>
              <w:jc w:val="center"/>
              <w:rPr>
                <w:rFonts w:hint="eastAsia" w:ascii="宋体" w:hAnsi="宋体" w:eastAsia="宋体" w:cs="宋体"/>
                <w:sz w:val="24"/>
                <w:highlight w:val="none"/>
              </w:rPr>
            </w:pPr>
            <w:r>
              <w:rPr>
                <w:rFonts w:hint="eastAsia" w:ascii="宋体" w:hAnsi="宋体" w:eastAsia="宋体" w:cs="宋体"/>
                <w:sz w:val="24"/>
                <w:highlight w:val="none"/>
              </w:rPr>
              <w:t>法定代表人身份证明</w:t>
            </w:r>
          </w:p>
        </w:tc>
        <w:tc>
          <w:tcPr>
            <w:tcW w:w="2448" w:type="dxa"/>
            <w:noWrap w:val="0"/>
            <w:vAlign w:val="center"/>
          </w:tcPr>
          <w:p w14:paraId="7466D120">
            <w:pPr>
              <w:spacing w:line="360" w:lineRule="auto"/>
              <w:jc w:val="center"/>
              <w:rPr>
                <w:rFonts w:hint="eastAsia" w:ascii="宋体" w:hAnsi="宋体" w:eastAsia="宋体" w:cs="宋体"/>
                <w:b/>
                <w:sz w:val="24"/>
                <w:highlight w:val="none"/>
              </w:rPr>
            </w:pPr>
          </w:p>
        </w:tc>
      </w:tr>
      <w:tr w14:paraId="0992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207" w:type="dxa"/>
            <w:noWrap w:val="0"/>
            <w:vAlign w:val="center"/>
          </w:tcPr>
          <w:p w14:paraId="3E803196">
            <w:pPr>
              <w:jc w:val="center"/>
              <w:rPr>
                <w:rFonts w:hint="eastAsia" w:ascii="宋体" w:hAnsi="宋体" w:eastAsia="宋体" w:cs="宋体"/>
                <w:kern w:val="2"/>
                <w:sz w:val="24"/>
                <w:highlight w:val="none"/>
                <w:lang w:val="en-US" w:eastAsia="zh-CN" w:bidi="ar-SA"/>
              </w:rPr>
            </w:pPr>
            <w:r>
              <w:rPr>
                <w:rFonts w:hint="eastAsia" w:ascii="宋体" w:hAnsi="宋体" w:eastAsia="宋体" w:cs="宋体"/>
                <w:sz w:val="24"/>
                <w:highlight w:val="none"/>
                <w:lang w:eastAsia="zh-CN"/>
              </w:rPr>
              <w:t>五</w:t>
            </w:r>
          </w:p>
        </w:tc>
        <w:tc>
          <w:tcPr>
            <w:tcW w:w="5984" w:type="dxa"/>
            <w:noWrap w:val="0"/>
            <w:vAlign w:val="center"/>
          </w:tcPr>
          <w:p w14:paraId="0D5DF039">
            <w:pPr>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授权委托书</w:t>
            </w:r>
          </w:p>
        </w:tc>
        <w:tc>
          <w:tcPr>
            <w:tcW w:w="2448" w:type="dxa"/>
            <w:noWrap w:val="0"/>
            <w:vAlign w:val="center"/>
          </w:tcPr>
          <w:p w14:paraId="4ED9727D">
            <w:pPr>
              <w:spacing w:line="360" w:lineRule="auto"/>
              <w:jc w:val="center"/>
              <w:rPr>
                <w:rFonts w:hint="eastAsia" w:ascii="宋体" w:hAnsi="宋体" w:eastAsia="宋体" w:cs="宋体"/>
                <w:b/>
                <w:sz w:val="24"/>
                <w:highlight w:val="none"/>
              </w:rPr>
            </w:pPr>
          </w:p>
        </w:tc>
      </w:tr>
      <w:tr w14:paraId="7D89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207" w:type="dxa"/>
            <w:noWrap w:val="0"/>
            <w:vAlign w:val="center"/>
          </w:tcPr>
          <w:p w14:paraId="0FA302B5">
            <w:pPr>
              <w:jc w:val="center"/>
              <w:rPr>
                <w:rFonts w:hint="eastAsia" w:ascii="宋体" w:hAnsi="宋体" w:eastAsia="宋体" w:cs="宋体"/>
                <w:kern w:val="2"/>
                <w:sz w:val="24"/>
                <w:highlight w:val="none"/>
                <w:lang w:val="en-US" w:eastAsia="zh-CN" w:bidi="ar-SA"/>
              </w:rPr>
            </w:pPr>
            <w:r>
              <w:rPr>
                <w:rFonts w:hint="eastAsia" w:ascii="宋体" w:hAnsi="宋体" w:eastAsia="宋体" w:cs="宋体"/>
                <w:sz w:val="24"/>
                <w:highlight w:val="none"/>
                <w:lang w:eastAsia="zh-CN"/>
              </w:rPr>
              <w:t>六</w:t>
            </w:r>
          </w:p>
        </w:tc>
        <w:tc>
          <w:tcPr>
            <w:tcW w:w="5984" w:type="dxa"/>
            <w:noWrap w:val="0"/>
            <w:vAlign w:val="center"/>
          </w:tcPr>
          <w:p w14:paraId="2B366721">
            <w:pPr>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供应商基本情况表</w:t>
            </w:r>
          </w:p>
        </w:tc>
        <w:tc>
          <w:tcPr>
            <w:tcW w:w="2448" w:type="dxa"/>
            <w:noWrap w:val="0"/>
            <w:vAlign w:val="center"/>
          </w:tcPr>
          <w:p w14:paraId="2777F88B">
            <w:pPr>
              <w:spacing w:line="360" w:lineRule="auto"/>
              <w:jc w:val="center"/>
              <w:rPr>
                <w:rFonts w:hint="eastAsia" w:ascii="宋体" w:hAnsi="宋体" w:eastAsia="宋体" w:cs="宋体"/>
                <w:b/>
                <w:sz w:val="24"/>
                <w:highlight w:val="none"/>
              </w:rPr>
            </w:pPr>
          </w:p>
        </w:tc>
      </w:tr>
      <w:tr w14:paraId="1147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207" w:type="dxa"/>
            <w:noWrap w:val="0"/>
            <w:vAlign w:val="center"/>
          </w:tcPr>
          <w:p w14:paraId="5872FE5E">
            <w:pPr>
              <w:jc w:val="center"/>
              <w:rPr>
                <w:rFonts w:hint="eastAsia" w:ascii="宋体" w:hAnsi="宋体" w:eastAsia="宋体" w:cs="宋体"/>
                <w:kern w:val="2"/>
                <w:sz w:val="24"/>
                <w:highlight w:val="none"/>
                <w:lang w:val="en-US" w:eastAsia="zh-CN" w:bidi="ar-SA"/>
              </w:rPr>
            </w:pPr>
            <w:r>
              <w:rPr>
                <w:rFonts w:hint="eastAsia" w:ascii="宋体" w:hAnsi="宋体" w:eastAsia="宋体" w:cs="宋体"/>
                <w:sz w:val="24"/>
                <w:highlight w:val="none"/>
                <w:lang w:eastAsia="zh-CN"/>
              </w:rPr>
              <w:t>七</w:t>
            </w:r>
          </w:p>
        </w:tc>
        <w:tc>
          <w:tcPr>
            <w:tcW w:w="5984" w:type="dxa"/>
            <w:noWrap w:val="0"/>
            <w:vAlign w:val="center"/>
          </w:tcPr>
          <w:p w14:paraId="75B602BA">
            <w:pPr>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供应商业绩</w:t>
            </w:r>
          </w:p>
        </w:tc>
        <w:tc>
          <w:tcPr>
            <w:tcW w:w="2448" w:type="dxa"/>
            <w:noWrap w:val="0"/>
            <w:vAlign w:val="center"/>
          </w:tcPr>
          <w:p w14:paraId="565E00ED">
            <w:pPr>
              <w:spacing w:line="360" w:lineRule="auto"/>
              <w:jc w:val="center"/>
              <w:rPr>
                <w:rFonts w:hint="eastAsia" w:ascii="宋体" w:hAnsi="宋体" w:eastAsia="宋体" w:cs="宋体"/>
                <w:b/>
                <w:sz w:val="24"/>
                <w:highlight w:val="none"/>
              </w:rPr>
            </w:pPr>
          </w:p>
        </w:tc>
      </w:tr>
      <w:tr w14:paraId="3A10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207" w:type="dxa"/>
            <w:noWrap w:val="0"/>
            <w:vAlign w:val="center"/>
          </w:tcPr>
          <w:p w14:paraId="03429292">
            <w:pPr>
              <w:jc w:val="center"/>
              <w:rPr>
                <w:rFonts w:hint="eastAsia" w:ascii="宋体" w:hAnsi="宋体" w:eastAsia="宋体" w:cs="宋体"/>
                <w:kern w:val="2"/>
                <w:sz w:val="24"/>
                <w:highlight w:val="none"/>
                <w:lang w:val="en-US" w:eastAsia="zh-CN" w:bidi="ar-SA"/>
              </w:rPr>
            </w:pPr>
            <w:r>
              <w:rPr>
                <w:rFonts w:hint="eastAsia" w:ascii="宋体" w:hAnsi="宋体" w:cs="宋体"/>
                <w:sz w:val="24"/>
                <w:highlight w:val="none"/>
                <w:lang w:eastAsia="zh-CN"/>
              </w:rPr>
              <w:t>八</w:t>
            </w:r>
          </w:p>
        </w:tc>
        <w:tc>
          <w:tcPr>
            <w:tcW w:w="5984" w:type="dxa"/>
            <w:noWrap w:val="0"/>
            <w:vAlign w:val="center"/>
          </w:tcPr>
          <w:p w14:paraId="4C4BFF7B">
            <w:pPr>
              <w:jc w:val="center"/>
              <w:rPr>
                <w:rFonts w:hint="eastAsia" w:ascii="宋体" w:hAnsi="宋体" w:eastAsia="宋体" w:cs="宋体"/>
                <w:kern w:val="2"/>
                <w:sz w:val="24"/>
                <w:highlight w:val="none"/>
                <w:lang w:val="en-US" w:eastAsia="zh-CN" w:bidi="ar-SA"/>
              </w:rPr>
            </w:pPr>
            <w:r>
              <w:rPr>
                <w:rFonts w:hint="eastAsia" w:ascii="宋体" w:hAnsi="宋体" w:cs="宋体"/>
                <w:kern w:val="2"/>
                <w:sz w:val="24"/>
                <w:highlight w:val="none"/>
                <w:lang w:val="en-US" w:eastAsia="zh-CN" w:bidi="ar-SA"/>
              </w:rPr>
              <w:t>企业实力</w:t>
            </w:r>
          </w:p>
        </w:tc>
        <w:tc>
          <w:tcPr>
            <w:tcW w:w="2448" w:type="dxa"/>
            <w:noWrap w:val="0"/>
            <w:vAlign w:val="center"/>
          </w:tcPr>
          <w:p w14:paraId="0B91851C">
            <w:pPr>
              <w:spacing w:line="360" w:lineRule="auto"/>
              <w:jc w:val="center"/>
              <w:rPr>
                <w:rFonts w:hint="eastAsia" w:ascii="宋体" w:hAnsi="宋体" w:eastAsia="宋体" w:cs="宋体"/>
                <w:b/>
                <w:sz w:val="24"/>
                <w:highlight w:val="none"/>
              </w:rPr>
            </w:pPr>
          </w:p>
        </w:tc>
      </w:tr>
      <w:tr w14:paraId="6FF5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207" w:type="dxa"/>
            <w:noWrap w:val="0"/>
            <w:vAlign w:val="center"/>
          </w:tcPr>
          <w:p w14:paraId="3F4B724B">
            <w:pPr>
              <w:jc w:val="center"/>
              <w:rPr>
                <w:rFonts w:hint="eastAsia" w:ascii="宋体" w:hAnsi="宋体" w:eastAsia="宋体" w:cs="宋体"/>
                <w:kern w:val="2"/>
                <w:sz w:val="24"/>
                <w:highlight w:val="none"/>
                <w:lang w:val="en-US" w:eastAsia="zh-CN" w:bidi="ar-SA"/>
              </w:rPr>
            </w:pPr>
            <w:r>
              <w:rPr>
                <w:rFonts w:hint="eastAsia" w:ascii="宋体" w:hAnsi="宋体" w:cs="宋体"/>
                <w:kern w:val="2"/>
                <w:sz w:val="24"/>
                <w:highlight w:val="none"/>
                <w:lang w:val="en-US" w:eastAsia="zh-CN" w:bidi="ar-SA"/>
              </w:rPr>
              <w:t>九</w:t>
            </w:r>
          </w:p>
        </w:tc>
        <w:tc>
          <w:tcPr>
            <w:tcW w:w="5984" w:type="dxa"/>
            <w:noWrap w:val="0"/>
            <w:vAlign w:val="center"/>
          </w:tcPr>
          <w:p w14:paraId="37020AE6">
            <w:pPr>
              <w:jc w:val="center"/>
              <w:rPr>
                <w:rFonts w:hint="eastAsia" w:ascii="宋体" w:hAnsi="宋体" w:eastAsia="宋体" w:cs="宋体"/>
                <w:kern w:val="2"/>
                <w:sz w:val="24"/>
                <w:highlight w:val="none"/>
                <w:lang w:val="en-US" w:eastAsia="zh-CN" w:bidi="ar-SA"/>
              </w:rPr>
            </w:pPr>
            <w:r>
              <w:rPr>
                <w:rFonts w:hint="eastAsia" w:ascii="宋体" w:hAnsi="宋体" w:eastAsia="宋体" w:cs="宋体"/>
                <w:sz w:val="24"/>
                <w:highlight w:val="none"/>
                <w:lang w:eastAsia="zh-CN"/>
              </w:rPr>
              <w:t>服务方案及承诺</w:t>
            </w:r>
          </w:p>
        </w:tc>
        <w:tc>
          <w:tcPr>
            <w:tcW w:w="2448" w:type="dxa"/>
            <w:noWrap w:val="0"/>
            <w:vAlign w:val="center"/>
          </w:tcPr>
          <w:p w14:paraId="0608FEB0">
            <w:pPr>
              <w:spacing w:line="360" w:lineRule="auto"/>
              <w:jc w:val="center"/>
              <w:rPr>
                <w:rFonts w:hint="eastAsia" w:ascii="宋体" w:hAnsi="宋体" w:eastAsia="宋体" w:cs="宋体"/>
                <w:b/>
                <w:sz w:val="24"/>
                <w:highlight w:val="none"/>
              </w:rPr>
            </w:pPr>
          </w:p>
        </w:tc>
      </w:tr>
      <w:tr w14:paraId="4F31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207" w:type="dxa"/>
            <w:noWrap w:val="0"/>
            <w:vAlign w:val="center"/>
          </w:tcPr>
          <w:p w14:paraId="0E8A7110">
            <w:pPr>
              <w:jc w:val="center"/>
              <w:rPr>
                <w:rFonts w:hint="eastAsia" w:ascii="宋体" w:hAnsi="宋体" w:eastAsia="宋体" w:cs="宋体"/>
                <w:kern w:val="2"/>
                <w:sz w:val="24"/>
                <w:highlight w:val="none"/>
                <w:lang w:val="en-US" w:eastAsia="zh-CN" w:bidi="ar-SA"/>
              </w:rPr>
            </w:pPr>
            <w:r>
              <w:rPr>
                <w:rFonts w:hint="eastAsia" w:ascii="宋体" w:hAnsi="宋体" w:cs="宋体"/>
                <w:kern w:val="2"/>
                <w:sz w:val="24"/>
                <w:highlight w:val="none"/>
                <w:lang w:val="en-US" w:eastAsia="zh-CN" w:bidi="ar-SA"/>
              </w:rPr>
              <w:t>十</w:t>
            </w:r>
          </w:p>
        </w:tc>
        <w:tc>
          <w:tcPr>
            <w:tcW w:w="5984" w:type="dxa"/>
            <w:noWrap w:val="0"/>
            <w:vAlign w:val="center"/>
          </w:tcPr>
          <w:p w14:paraId="60105DBB">
            <w:pPr>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其他需要补充的资料</w:t>
            </w:r>
          </w:p>
        </w:tc>
        <w:tc>
          <w:tcPr>
            <w:tcW w:w="2448" w:type="dxa"/>
            <w:noWrap w:val="0"/>
            <w:vAlign w:val="center"/>
          </w:tcPr>
          <w:p w14:paraId="5567C471">
            <w:pPr>
              <w:spacing w:line="360" w:lineRule="auto"/>
              <w:jc w:val="center"/>
              <w:rPr>
                <w:rFonts w:hint="eastAsia" w:ascii="宋体" w:hAnsi="宋体" w:eastAsia="宋体" w:cs="宋体"/>
                <w:b/>
                <w:sz w:val="24"/>
                <w:highlight w:val="none"/>
              </w:rPr>
            </w:pPr>
          </w:p>
        </w:tc>
      </w:tr>
    </w:tbl>
    <w:p w14:paraId="4761C987">
      <w:pPr>
        <w:rPr>
          <w:rFonts w:hint="eastAsia" w:ascii="宋体" w:hAnsi="宋体"/>
          <w:b/>
          <w:sz w:val="28"/>
          <w:szCs w:val="28"/>
          <w:highlight w:val="none"/>
        </w:rPr>
      </w:pPr>
      <w:r>
        <w:rPr>
          <w:rFonts w:hint="eastAsia" w:ascii="宋体" w:hAnsi="宋体"/>
          <w:b/>
          <w:sz w:val="28"/>
          <w:szCs w:val="28"/>
          <w:highlight w:val="none"/>
        </w:rPr>
        <w:br w:type="page"/>
      </w:r>
    </w:p>
    <w:p w14:paraId="18295BB8">
      <w:pPr>
        <w:wordWrap w:val="0"/>
        <w:spacing w:before="160" w:after="160" w:line="415" w:lineRule="auto"/>
        <w:jc w:val="center"/>
        <w:outlineLvl w:val="1"/>
        <w:rPr>
          <w:rFonts w:ascii="宋体"/>
          <w:b/>
          <w:sz w:val="28"/>
          <w:szCs w:val="28"/>
          <w:highlight w:val="none"/>
        </w:rPr>
      </w:pPr>
      <w:r>
        <w:rPr>
          <w:rFonts w:hint="eastAsia" w:ascii="宋体" w:hAnsi="宋体"/>
          <w:b/>
          <w:sz w:val="28"/>
          <w:szCs w:val="28"/>
          <w:highlight w:val="none"/>
        </w:rPr>
        <w:t>一、响应函</w:t>
      </w:r>
    </w:p>
    <w:p w14:paraId="7F435E28">
      <w:pPr>
        <w:spacing w:line="480" w:lineRule="auto"/>
        <w:rPr>
          <w:rFonts w:hint="eastAsia" w:ascii="宋体" w:hAnsi="宋体" w:cs="Arial"/>
          <w:b/>
          <w:color w:val="000000"/>
          <w:sz w:val="24"/>
          <w:szCs w:val="24"/>
        </w:rPr>
      </w:pPr>
      <w:r>
        <w:rPr>
          <w:rFonts w:ascii="宋体" w:hAnsi="宋体" w:cs="Arial"/>
          <w:b/>
          <w:color w:val="000000"/>
          <w:sz w:val="24"/>
          <w:szCs w:val="24"/>
        </w:rPr>
        <w:t>致：</w:t>
      </w:r>
      <w:r>
        <w:rPr>
          <w:rFonts w:ascii="宋体" w:hAnsi="宋体"/>
          <w:b/>
          <w:sz w:val="24"/>
        </w:rPr>
        <w:t xml:space="preserve"> </w:t>
      </w:r>
      <w:r>
        <w:rPr>
          <w:rFonts w:hint="eastAsia" w:ascii="宋体" w:hAnsi="宋体"/>
          <w:b/>
          <w:sz w:val="24"/>
          <w:u w:val="single"/>
        </w:rPr>
        <w:t xml:space="preserve">                 （</w:t>
      </w:r>
      <w:r>
        <w:rPr>
          <w:rFonts w:hint="eastAsia" w:ascii="宋体" w:hAnsi="宋体"/>
          <w:b/>
          <w:sz w:val="24"/>
        </w:rPr>
        <w:t>采购人）</w:t>
      </w:r>
    </w:p>
    <w:p w14:paraId="00952FF8">
      <w:pPr>
        <w:keepNext w:val="0"/>
        <w:keepLines w:val="0"/>
        <w:pageBreakBefore w:val="0"/>
        <w:widowControl w:val="0"/>
        <w:kinsoku/>
        <w:overflowPunct/>
        <w:topLinePunct w:val="0"/>
        <w:autoSpaceDE/>
        <w:autoSpaceDN/>
        <w:bidi w:val="0"/>
        <w:adjustRightInd/>
        <w:snapToGrid w:val="0"/>
        <w:spacing w:line="384" w:lineRule="auto"/>
        <w:ind w:left="1" w:firstLine="552" w:firstLineChars="230"/>
        <w:textAlignment w:val="auto"/>
        <w:rPr>
          <w:rFonts w:ascii="宋体" w:hAnsi="宋体" w:cs="Arial"/>
          <w:color w:val="000000"/>
          <w:sz w:val="24"/>
          <w:szCs w:val="24"/>
        </w:rPr>
      </w:pPr>
      <w:r>
        <w:rPr>
          <w:rFonts w:ascii="宋体" w:hAnsi="宋体" w:cs="Arial"/>
          <w:color w:val="000000"/>
          <w:sz w:val="24"/>
          <w:szCs w:val="24"/>
        </w:rPr>
        <w:t>1、根据贵方</w:t>
      </w:r>
      <w:r>
        <w:rPr>
          <w:rFonts w:hint="eastAsia" w:ascii="宋体" w:hAnsi="宋体" w:cs="Arial"/>
          <w:color w:val="000000"/>
          <w:sz w:val="24"/>
          <w:szCs w:val="24"/>
          <w:lang w:eastAsia="zh-CN"/>
        </w:rPr>
        <w:t>HCZB-2024-ZB1285</w:t>
      </w:r>
      <w:r>
        <w:rPr>
          <w:rFonts w:ascii="宋体" w:hAnsi="宋体" w:cs="Arial"/>
          <w:color w:val="000000"/>
          <w:sz w:val="24"/>
          <w:szCs w:val="24"/>
        </w:rPr>
        <w:t>采购公告，我方决定参加贵方组织的</w:t>
      </w:r>
      <w:r>
        <w:rPr>
          <w:rFonts w:ascii="宋体" w:hAnsi="宋体" w:cs="Arial"/>
          <w:color w:val="000000"/>
          <w:sz w:val="24"/>
          <w:szCs w:val="24"/>
          <w:u w:val="single"/>
        </w:rPr>
        <w:t xml:space="preserve">    </w:t>
      </w:r>
      <w:r>
        <w:rPr>
          <w:rFonts w:ascii="宋体" w:hAnsi="宋体" w:cs="Arial"/>
          <w:color w:val="000000"/>
          <w:sz w:val="24"/>
          <w:szCs w:val="24"/>
        </w:rPr>
        <w:t>项目</w:t>
      </w:r>
      <w:r>
        <w:rPr>
          <w:rFonts w:hint="eastAsia" w:ascii="宋体" w:hAnsi="宋体" w:cs="Arial"/>
          <w:color w:val="000000"/>
          <w:sz w:val="24"/>
          <w:szCs w:val="24"/>
        </w:rPr>
        <w:t>第</w:t>
      </w:r>
      <w:r>
        <w:rPr>
          <w:rFonts w:hint="eastAsia" w:ascii="宋体" w:hAnsi="宋体" w:cs="Arial"/>
          <w:color w:val="000000"/>
          <w:sz w:val="24"/>
          <w:szCs w:val="24"/>
          <w:u w:val="single"/>
          <w:lang w:val="en-US" w:eastAsia="zh-CN"/>
        </w:rPr>
        <w:t xml:space="preserve">   </w:t>
      </w:r>
      <w:r>
        <w:rPr>
          <w:rFonts w:hint="eastAsia" w:ascii="宋体" w:hAnsi="宋体" w:cs="Arial"/>
          <w:color w:val="000000"/>
          <w:sz w:val="24"/>
          <w:szCs w:val="24"/>
        </w:rPr>
        <w:t>包</w:t>
      </w:r>
      <w:r>
        <w:rPr>
          <w:rFonts w:ascii="宋体" w:hAnsi="宋体" w:cs="Arial"/>
          <w:color w:val="000000"/>
          <w:sz w:val="24"/>
          <w:szCs w:val="24"/>
        </w:rPr>
        <w:t>的采购活动。我方授权</w:t>
      </w:r>
      <w:r>
        <w:rPr>
          <w:rFonts w:ascii="宋体" w:hAnsi="宋体" w:cs="Arial"/>
          <w:color w:val="000000"/>
          <w:sz w:val="24"/>
          <w:szCs w:val="24"/>
          <w:u w:val="single"/>
        </w:rPr>
        <w:t xml:space="preserve">  </w:t>
      </w:r>
      <w:r>
        <w:rPr>
          <w:rFonts w:hint="eastAsia" w:ascii="宋体" w:hAnsi="宋体" w:cs="Arial"/>
          <w:color w:val="000000"/>
          <w:sz w:val="24"/>
          <w:szCs w:val="24"/>
          <w:u w:val="single"/>
          <w:lang w:val="en-US" w:eastAsia="zh-CN"/>
        </w:rPr>
        <w:t xml:space="preserve"> </w:t>
      </w:r>
      <w:r>
        <w:rPr>
          <w:rFonts w:hint="eastAsia" w:ascii="宋体" w:hAnsi="宋体" w:cs="Arial"/>
          <w:color w:val="000000"/>
          <w:sz w:val="24"/>
          <w:szCs w:val="24"/>
          <w:u w:val="single"/>
        </w:rPr>
        <w:t xml:space="preserve"> </w:t>
      </w:r>
      <w:r>
        <w:rPr>
          <w:rFonts w:ascii="宋体" w:hAnsi="宋体" w:cs="Arial"/>
          <w:color w:val="000000"/>
          <w:sz w:val="24"/>
          <w:szCs w:val="24"/>
          <w:u w:val="single"/>
        </w:rPr>
        <w:t xml:space="preserve">   </w:t>
      </w:r>
      <w:r>
        <w:rPr>
          <w:rFonts w:ascii="宋体" w:hAnsi="宋体" w:cs="Arial"/>
          <w:color w:val="000000"/>
          <w:sz w:val="24"/>
          <w:szCs w:val="24"/>
        </w:rPr>
        <w:t>(姓名和职务)代表我方</w:t>
      </w:r>
      <w:r>
        <w:rPr>
          <w:rFonts w:ascii="宋体" w:hAnsi="宋体" w:cs="Arial"/>
          <w:color w:val="000000"/>
          <w:sz w:val="24"/>
          <w:szCs w:val="24"/>
          <w:u w:val="single"/>
        </w:rPr>
        <w:t xml:space="preserve">    </w:t>
      </w:r>
      <w:r>
        <w:rPr>
          <w:rFonts w:hint="eastAsia" w:ascii="宋体" w:hAnsi="宋体" w:cs="Arial"/>
          <w:color w:val="000000"/>
          <w:sz w:val="24"/>
          <w:szCs w:val="24"/>
          <w:u w:val="single"/>
        </w:rPr>
        <w:t xml:space="preserve"> </w:t>
      </w:r>
      <w:r>
        <w:rPr>
          <w:rFonts w:ascii="宋体" w:hAnsi="宋体" w:cs="Arial"/>
          <w:color w:val="000000"/>
          <w:sz w:val="24"/>
          <w:szCs w:val="24"/>
          <w:u w:val="single"/>
        </w:rPr>
        <w:t xml:space="preserve">         </w:t>
      </w:r>
      <w:r>
        <w:rPr>
          <w:rFonts w:ascii="宋体" w:hAnsi="宋体" w:cs="Arial"/>
          <w:color w:val="000000"/>
          <w:sz w:val="24"/>
          <w:szCs w:val="24"/>
        </w:rPr>
        <w:t>（</w:t>
      </w:r>
      <w:r>
        <w:rPr>
          <w:rFonts w:hint="eastAsia" w:ascii="宋体" w:hAnsi="宋体" w:cs="Arial"/>
          <w:color w:val="000000"/>
          <w:sz w:val="24"/>
          <w:szCs w:val="24"/>
        </w:rPr>
        <w:t>投标供应商</w:t>
      </w:r>
      <w:r>
        <w:rPr>
          <w:rFonts w:ascii="宋体" w:hAnsi="宋体" w:cs="Arial"/>
          <w:color w:val="000000"/>
          <w:sz w:val="24"/>
          <w:szCs w:val="24"/>
        </w:rPr>
        <w:t>的名称）全权处理本项目采购的有关事宜。</w:t>
      </w:r>
    </w:p>
    <w:p w14:paraId="5B73D388">
      <w:pPr>
        <w:keepNext w:val="0"/>
        <w:keepLines w:val="0"/>
        <w:pageBreakBefore w:val="0"/>
        <w:widowControl w:val="0"/>
        <w:kinsoku/>
        <w:overflowPunct/>
        <w:topLinePunct w:val="0"/>
        <w:autoSpaceDE/>
        <w:autoSpaceDN/>
        <w:bidi w:val="0"/>
        <w:adjustRightInd/>
        <w:snapToGrid w:val="0"/>
        <w:spacing w:line="384" w:lineRule="auto"/>
        <w:ind w:firstLine="600" w:firstLineChars="250"/>
        <w:textAlignment w:val="auto"/>
        <w:rPr>
          <w:rFonts w:ascii="宋体" w:hAnsi="宋体" w:cs="Arial"/>
          <w:color w:val="000000"/>
          <w:sz w:val="24"/>
          <w:szCs w:val="24"/>
        </w:rPr>
      </w:pPr>
      <w:r>
        <w:rPr>
          <w:rFonts w:ascii="宋体" w:hAnsi="宋体" w:cs="Arial"/>
          <w:color w:val="000000"/>
          <w:sz w:val="24"/>
          <w:szCs w:val="24"/>
        </w:rPr>
        <w:t>2、我方愿意按照</w:t>
      </w:r>
      <w:r>
        <w:rPr>
          <w:rFonts w:hint="eastAsia" w:ascii="宋体" w:hAnsi="宋体" w:cs="Arial"/>
          <w:color w:val="000000"/>
          <w:sz w:val="24"/>
          <w:szCs w:val="24"/>
          <w:lang w:eastAsia="zh-CN"/>
        </w:rPr>
        <w:t>磋商</w:t>
      </w:r>
      <w:r>
        <w:rPr>
          <w:rFonts w:ascii="宋体" w:hAnsi="宋体" w:cs="Arial"/>
          <w:color w:val="000000"/>
          <w:sz w:val="24"/>
          <w:szCs w:val="24"/>
        </w:rPr>
        <w:t>采购文件规定的各项要求，向采购人提供所需的货物与服务，总报价为人民币（大写）</w:t>
      </w:r>
      <w:r>
        <w:rPr>
          <w:rFonts w:ascii="宋体" w:hAnsi="宋体" w:cs="Arial"/>
          <w:color w:val="000000"/>
          <w:sz w:val="24"/>
          <w:szCs w:val="24"/>
          <w:u w:val="single"/>
        </w:rPr>
        <w:t xml:space="preserve">        </w:t>
      </w:r>
      <w:r>
        <w:rPr>
          <w:rFonts w:hint="eastAsia" w:ascii="宋体" w:hAnsi="宋体" w:cs="Arial"/>
          <w:color w:val="000000"/>
          <w:sz w:val="24"/>
          <w:szCs w:val="24"/>
          <w:u w:val="single"/>
        </w:rPr>
        <w:t xml:space="preserve">     </w:t>
      </w:r>
      <w:r>
        <w:rPr>
          <w:rFonts w:hint="eastAsia" w:ascii="宋体" w:hAnsi="宋体" w:cs="Arial"/>
          <w:color w:val="000000"/>
          <w:sz w:val="24"/>
          <w:szCs w:val="24"/>
        </w:rPr>
        <w:t>，（小写）￥</w:t>
      </w:r>
      <w:r>
        <w:rPr>
          <w:rFonts w:hint="eastAsia" w:ascii="宋体" w:hAnsi="宋体" w:cs="Arial"/>
          <w:color w:val="000000"/>
          <w:sz w:val="24"/>
          <w:szCs w:val="24"/>
          <w:u w:val="single"/>
        </w:rPr>
        <w:t xml:space="preserve">           </w:t>
      </w:r>
      <w:r>
        <w:rPr>
          <w:rFonts w:ascii="宋体" w:hAnsi="宋体" w:cs="Arial"/>
          <w:color w:val="000000"/>
          <w:sz w:val="24"/>
          <w:szCs w:val="24"/>
        </w:rPr>
        <w:t>。</w:t>
      </w:r>
    </w:p>
    <w:p w14:paraId="783082EA">
      <w:pPr>
        <w:keepNext w:val="0"/>
        <w:keepLines w:val="0"/>
        <w:pageBreakBefore w:val="0"/>
        <w:widowControl w:val="0"/>
        <w:kinsoku/>
        <w:overflowPunct/>
        <w:topLinePunct w:val="0"/>
        <w:autoSpaceDE/>
        <w:autoSpaceDN/>
        <w:bidi w:val="0"/>
        <w:adjustRightInd/>
        <w:snapToGrid w:val="0"/>
        <w:spacing w:line="384" w:lineRule="auto"/>
        <w:ind w:firstLine="600" w:firstLineChars="250"/>
        <w:textAlignment w:val="auto"/>
        <w:rPr>
          <w:rFonts w:hint="eastAsia" w:ascii="宋体" w:hAnsi="宋体" w:cs="Arial"/>
          <w:sz w:val="24"/>
          <w:szCs w:val="24"/>
        </w:rPr>
      </w:pPr>
      <w:r>
        <w:rPr>
          <w:rFonts w:ascii="宋体" w:hAnsi="宋体" w:cs="Arial"/>
          <w:sz w:val="24"/>
          <w:szCs w:val="24"/>
        </w:rPr>
        <w:t>3、一旦我方成为成交</w:t>
      </w:r>
      <w:r>
        <w:rPr>
          <w:rFonts w:hint="eastAsia" w:ascii="宋体" w:hAnsi="宋体" w:cs="Arial"/>
          <w:sz w:val="24"/>
          <w:szCs w:val="24"/>
        </w:rPr>
        <w:t>投标供应商</w:t>
      </w:r>
      <w:r>
        <w:rPr>
          <w:rFonts w:ascii="宋体" w:hAnsi="宋体" w:cs="Arial"/>
          <w:sz w:val="24"/>
          <w:szCs w:val="24"/>
        </w:rPr>
        <w:t>，我方将严格履行合同规定的责任和义务，保证</w:t>
      </w:r>
      <w:r>
        <w:rPr>
          <w:rFonts w:hint="eastAsia" w:ascii="宋体" w:hAnsi="宋体" w:cs="Arial"/>
          <w:sz w:val="24"/>
          <w:szCs w:val="24"/>
        </w:rPr>
        <w:t>按</w:t>
      </w:r>
      <w:r>
        <w:rPr>
          <w:rFonts w:hint="eastAsia" w:ascii="宋体" w:hAnsi="宋体" w:cs="Arial"/>
          <w:sz w:val="24"/>
          <w:szCs w:val="24"/>
          <w:lang w:eastAsia="zh-CN"/>
        </w:rPr>
        <w:t>磋商</w:t>
      </w:r>
      <w:r>
        <w:rPr>
          <w:rFonts w:hint="eastAsia" w:ascii="宋体" w:hAnsi="宋体" w:cs="Arial"/>
          <w:sz w:val="24"/>
          <w:szCs w:val="24"/>
        </w:rPr>
        <w:t>采购文件要求提供相关货物及服务。</w:t>
      </w:r>
    </w:p>
    <w:p w14:paraId="3E72A653">
      <w:pPr>
        <w:keepNext w:val="0"/>
        <w:keepLines w:val="0"/>
        <w:pageBreakBefore w:val="0"/>
        <w:widowControl w:val="0"/>
        <w:kinsoku/>
        <w:overflowPunct/>
        <w:topLinePunct w:val="0"/>
        <w:autoSpaceDE/>
        <w:autoSpaceDN/>
        <w:bidi w:val="0"/>
        <w:adjustRightInd/>
        <w:snapToGrid w:val="0"/>
        <w:spacing w:line="384" w:lineRule="auto"/>
        <w:ind w:firstLine="645"/>
        <w:textAlignment w:val="auto"/>
        <w:rPr>
          <w:rFonts w:hint="eastAsia" w:ascii="宋体" w:hAnsi="宋体" w:cs="Arial"/>
          <w:sz w:val="24"/>
          <w:szCs w:val="24"/>
        </w:rPr>
      </w:pPr>
      <w:r>
        <w:rPr>
          <w:rFonts w:hint="eastAsia" w:ascii="宋体" w:hAnsi="宋体" w:cs="Arial"/>
          <w:sz w:val="24"/>
          <w:szCs w:val="24"/>
        </w:rPr>
        <w:t>4、</w:t>
      </w:r>
      <w:r>
        <w:rPr>
          <w:rFonts w:ascii="宋体" w:hAnsi="宋体" w:cs="Arial"/>
          <w:sz w:val="24"/>
          <w:szCs w:val="24"/>
        </w:rPr>
        <w:t>一旦我方成为成交</w:t>
      </w:r>
      <w:r>
        <w:rPr>
          <w:rFonts w:hint="eastAsia" w:ascii="宋体" w:hAnsi="宋体" w:cs="Arial"/>
          <w:sz w:val="24"/>
          <w:szCs w:val="24"/>
        </w:rPr>
        <w:t>供应商，将按要求提交相关证明材料。</w:t>
      </w:r>
    </w:p>
    <w:p w14:paraId="483AF0E6">
      <w:pPr>
        <w:keepNext w:val="0"/>
        <w:keepLines w:val="0"/>
        <w:pageBreakBefore w:val="0"/>
        <w:widowControl w:val="0"/>
        <w:tabs>
          <w:tab w:val="left" w:pos="840"/>
        </w:tabs>
        <w:kinsoku/>
        <w:overflowPunct/>
        <w:topLinePunct w:val="0"/>
        <w:autoSpaceDE/>
        <w:autoSpaceDN/>
        <w:bidi w:val="0"/>
        <w:adjustRightInd/>
        <w:snapToGrid w:val="0"/>
        <w:spacing w:line="384" w:lineRule="auto"/>
        <w:ind w:firstLine="628"/>
        <w:textAlignment w:val="auto"/>
        <w:rPr>
          <w:rFonts w:ascii="宋体" w:hAnsi="宋体" w:cs="Arial"/>
          <w:color w:val="000000"/>
          <w:sz w:val="24"/>
          <w:szCs w:val="24"/>
        </w:rPr>
      </w:pPr>
      <w:r>
        <w:rPr>
          <w:rFonts w:hint="eastAsia" w:ascii="宋体" w:hAnsi="宋体" w:cs="Arial"/>
          <w:color w:val="000000"/>
          <w:sz w:val="24"/>
          <w:szCs w:val="24"/>
        </w:rPr>
        <w:t>5</w:t>
      </w:r>
      <w:r>
        <w:rPr>
          <w:rFonts w:ascii="宋体" w:hAnsi="宋体" w:cs="Arial"/>
          <w:color w:val="000000"/>
          <w:sz w:val="24"/>
          <w:szCs w:val="24"/>
        </w:rPr>
        <w:t>、我方愿意提供贵方可能另外要求的、与采购有关的文件资料，并保证我方已提供和将要提供的文件是真实的、准确的。</w:t>
      </w:r>
    </w:p>
    <w:p w14:paraId="1100A2E1">
      <w:pPr>
        <w:keepNext w:val="0"/>
        <w:keepLines w:val="0"/>
        <w:pageBreakBefore w:val="0"/>
        <w:widowControl w:val="0"/>
        <w:tabs>
          <w:tab w:val="left" w:pos="0"/>
          <w:tab w:val="left" w:pos="840"/>
        </w:tabs>
        <w:kinsoku/>
        <w:overflowPunct/>
        <w:topLinePunct w:val="0"/>
        <w:autoSpaceDE/>
        <w:autoSpaceDN/>
        <w:bidi w:val="0"/>
        <w:adjustRightInd/>
        <w:snapToGrid w:val="0"/>
        <w:spacing w:line="384" w:lineRule="auto"/>
        <w:ind w:firstLine="525"/>
        <w:textAlignment w:val="auto"/>
        <w:rPr>
          <w:rFonts w:ascii="宋体" w:hAnsi="宋体" w:cs="Arial"/>
          <w:color w:val="000000"/>
          <w:sz w:val="24"/>
          <w:szCs w:val="24"/>
        </w:rPr>
      </w:pPr>
      <w:r>
        <w:rPr>
          <w:rFonts w:ascii="宋体" w:hAnsi="宋体" w:cs="Arial"/>
          <w:color w:val="000000"/>
          <w:sz w:val="24"/>
          <w:szCs w:val="24"/>
        </w:rPr>
        <w:t xml:space="preserve"> </w:t>
      </w:r>
      <w:r>
        <w:rPr>
          <w:rFonts w:hint="eastAsia" w:ascii="宋体" w:hAnsi="宋体" w:cs="Arial"/>
          <w:color w:val="000000"/>
          <w:sz w:val="24"/>
          <w:szCs w:val="24"/>
        </w:rPr>
        <w:t>6</w:t>
      </w:r>
      <w:r>
        <w:rPr>
          <w:rFonts w:ascii="宋体" w:hAnsi="宋体" w:cs="Arial"/>
          <w:color w:val="000000"/>
          <w:sz w:val="24"/>
          <w:szCs w:val="24"/>
        </w:rPr>
        <w:t>、我方完全理解贵方不一定将合同授予最低报价的</w:t>
      </w:r>
      <w:r>
        <w:rPr>
          <w:rFonts w:hint="eastAsia" w:ascii="宋体" w:hAnsi="宋体" w:cs="Arial"/>
          <w:color w:val="000000"/>
          <w:sz w:val="24"/>
          <w:szCs w:val="24"/>
        </w:rPr>
        <w:t>投标供应商</w:t>
      </w:r>
      <w:r>
        <w:rPr>
          <w:rFonts w:ascii="宋体" w:hAnsi="宋体" w:cs="Arial"/>
          <w:color w:val="000000"/>
          <w:sz w:val="24"/>
          <w:szCs w:val="24"/>
        </w:rPr>
        <w:t>。</w:t>
      </w:r>
    </w:p>
    <w:p w14:paraId="1A3134DF">
      <w:pPr>
        <w:keepNext w:val="0"/>
        <w:keepLines w:val="0"/>
        <w:pageBreakBefore w:val="0"/>
        <w:widowControl w:val="0"/>
        <w:tabs>
          <w:tab w:val="left" w:pos="0"/>
          <w:tab w:val="left" w:pos="840"/>
        </w:tabs>
        <w:kinsoku/>
        <w:overflowPunct/>
        <w:topLinePunct w:val="0"/>
        <w:autoSpaceDE/>
        <w:autoSpaceDN/>
        <w:bidi w:val="0"/>
        <w:adjustRightInd/>
        <w:snapToGrid w:val="0"/>
        <w:spacing w:line="384" w:lineRule="auto"/>
        <w:textAlignment w:val="auto"/>
        <w:rPr>
          <w:rFonts w:ascii="宋体" w:hAnsi="宋体" w:cs="Arial"/>
          <w:color w:val="000000"/>
          <w:sz w:val="24"/>
          <w:szCs w:val="24"/>
        </w:rPr>
      </w:pPr>
      <w:r>
        <w:rPr>
          <w:rFonts w:hint="eastAsia" w:ascii="宋体" w:hAnsi="宋体" w:cs="Arial"/>
          <w:color w:val="000000"/>
          <w:sz w:val="24"/>
          <w:szCs w:val="24"/>
        </w:rPr>
        <w:t xml:space="preserve">      </w:t>
      </w:r>
    </w:p>
    <w:p w14:paraId="75108DB2">
      <w:pPr>
        <w:keepNext w:val="0"/>
        <w:keepLines w:val="0"/>
        <w:pageBreakBefore w:val="0"/>
        <w:widowControl w:val="0"/>
        <w:kinsoku/>
        <w:overflowPunct/>
        <w:topLinePunct w:val="0"/>
        <w:autoSpaceDE/>
        <w:autoSpaceDN/>
        <w:bidi w:val="0"/>
        <w:adjustRightInd/>
        <w:snapToGrid w:val="0"/>
        <w:spacing w:line="384" w:lineRule="auto"/>
        <w:ind w:firstLine="1920" w:firstLineChars="800"/>
        <w:textAlignment w:val="auto"/>
        <w:rPr>
          <w:rFonts w:ascii="宋体" w:hAnsi="宋体" w:cs="Arial"/>
          <w:color w:val="000000"/>
          <w:sz w:val="24"/>
          <w:szCs w:val="24"/>
        </w:rPr>
      </w:pPr>
      <w:r>
        <w:rPr>
          <w:rFonts w:hint="eastAsia" w:ascii="宋体" w:hAnsi="宋体" w:cs="Arial"/>
          <w:color w:val="000000"/>
          <w:sz w:val="24"/>
          <w:szCs w:val="24"/>
        </w:rPr>
        <w:t>投标供应商</w:t>
      </w:r>
      <w:r>
        <w:rPr>
          <w:rFonts w:ascii="宋体" w:hAnsi="宋体" w:cs="Arial"/>
          <w:color w:val="000000"/>
          <w:sz w:val="24"/>
          <w:szCs w:val="24"/>
        </w:rPr>
        <w:t>名称（</w:t>
      </w:r>
      <w:r>
        <w:rPr>
          <w:rFonts w:hint="eastAsia" w:ascii="宋体" w:hAnsi="宋体" w:cs="Arial"/>
          <w:color w:val="000000"/>
          <w:sz w:val="24"/>
          <w:szCs w:val="24"/>
        </w:rPr>
        <w:t>投标供应商盖章</w:t>
      </w:r>
      <w:r>
        <w:rPr>
          <w:rFonts w:ascii="宋体" w:hAnsi="宋体" w:cs="Arial"/>
          <w:color w:val="000000"/>
          <w:sz w:val="24"/>
          <w:szCs w:val="24"/>
        </w:rPr>
        <w:t>）：</w:t>
      </w:r>
      <w:r>
        <w:rPr>
          <w:rFonts w:ascii="宋体" w:hAnsi="宋体" w:cs="Arial"/>
          <w:color w:val="000000"/>
          <w:sz w:val="24"/>
          <w:szCs w:val="24"/>
          <w:u w:val="single"/>
        </w:rPr>
        <w:t xml:space="preserve">                             </w:t>
      </w:r>
    </w:p>
    <w:p w14:paraId="2BBDCC51">
      <w:pPr>
        <w:keepNext w:val="0"/>
        <w:keepLines w:val="0"/>
        <w:pageBreakBefore w:val="0"/>
        <w:widowControl w:val="0"/>
        <w:kinsoku/>
        <w:overflowPunct/>
        <w:topLinePunct w:val="0"/>
        <w:autoSpaceDE/>
        <w:autoSpaceDN/>
        <w:bidi w:val="0"/>
        <w:adjustRightInd/>
        <w:snapToGrid w:val="0"/>
        <w:spacing w:line="384" w:lineRule="auto"/>
        <w:ind w:firstLine="1200" w:firstLineChars="500"/>
        <w:textAlignment w:val="auto"/>
        <w:rPr>
          <w:rFonts w:ascii="宋体" w:hAnsi="宋体" w:cs="Arial"/>
          <w:color w:val="000000"/>
          <w:sz w:val="24"/>
          <w:szCs w:val="24"/>
        </w:rPr>
      </w:pPr>
      <w:r>
        <w:rPr>
          <w:rFonts w:hint="eastAsia" w:ascii="宋体" w:hAnsi="宋体" w:cs="Arial"/>
          <w:sz w:val="24"/>
          <w:szCs w:val="24"/>
        </w:rPr>
        <w:t>法人或其</w:t>
      </w:r>
      <w:r>
        <w:rPr>
          <w:rFonts w:ascii="宋体" w:hAnsi="宋体" w:cs="Arial"/>
          <w:sz w:val="24"/>
          <w:szCs w:val="24"/>
        </w:rPr>
        <w:t>授权代表（</w:t>
      </w:r>
      <w:r>
        <w:rPr>
          <w:rFonts w:ascii="宋体" w:hAnsi="宋体" w:cs="Arial"/>
          <w:color w:val="000000"/>
          <w:sz w:val="24"/>
          <w:szCs w:val="24"/>
        </w:rPr>
        <w:t>签字</w:t>
      </w:r>
      <w:r>
        <w:rPr>
          <w:rFonts w:hint="eastAsia" w:ascii="宋体" w:hAnsi="宋体" w:cs="Arial"/>
          <w:color w:val="000000"/>
          <w:sz w:val="24"/>
          <w:szCs w:val="24"/>
        </w:rPr>
        <w:t>或盖章</w:t>
      </w:r>
      <w:r>
        <w:rPr>
          <w:rFonts w:ascii="宋体" w:hAnsi="宋体" w:cs="Arial"/>
          <w:sz w:val="24"/>
          <w:szCs w:val="24"/>
        </w:rPr>
        <w:t>）：</w:t>
      </w:r>
      <w:r>
        <w:rPr>
          <w:rFonts w:ascii="宋体" w:hAnsi="宋体" w:cs="Arial"/>
          <w:sz w:val="24"/>
          <w:szCs w:val="24"/>
          <w:u w:val="single"/>
        </w:rPr>
        <w:t xml:space="preserve">       </w:t>
      </w:r>
      <w:r>
        <w:rPr>
          <w:rFonts w:hint="eastAsia" w:ascii="宋体" w:hAnsi="宋体" w:cs="Arial"/>
          <w:sz w:val="24"/>
          <w:szCs w:val="24"/>
          <w:u w:val="single"/>
        </w:rPr>
        <w:t xml:space="preserve">            </w:t>
      </w:r>
      <w:r>
        <w:rPr>
          <w:rFonts w:ascii="宋体" w:hAnsi="宋体" w:cs="Arial"/>
          <w:sz w:val="24"/>
          <w:szCs w:val="24"/>
          <w:u w:val="single"/>
        </w:rPr>
        <w:t xml:space="preserve">          </w:t>
      </w:r>
    </w:p>
    <w:p w14:paraId="3DA808F7">
      <w:pPr>
        <w:keepNext w:val="0"/>
        <w:keepLines w:val="0"/>
        <w:pageBreakBefore w:val="0"/>
        <w:widowControl w:val="0"/>
        <w:kinsoku/>
        <w:overflowPunct/>
        <w:topLinePunct w:val="0"/>
        <w:autoSpaceDE/>
        <w:autoSpaceDN/>
        <w:bidi w:val="0"/>
        <w:adjustRightInd/>
        <w:snapToGrid w:val="0"/>
        <w:spacing w:line="384" w:lineRule="auto"/>
        <w:textAlignment w:val="auto"/>
        <w:rPr>
          <w:rFonts w:ascii="宋体" w:hAnsi="宋体" w:cs="Arial"/>
          <w:color w:val="000000"/>
          <w:sz w:val="24"/>
          <w:szCs w:val="24"/>
        </w:rPr>
      </w:pPr>
      <w:r>
        <w:rPr>
          <w:rFonts w:ascii="宋体" w:hAnsi="宋体" w:cs="Arial"/>
          <w:color w:val="000000"/>
          <w:sz w:val="24"/>
          <w:szCs w:val="24"/>
        </w:rPr>
        <w:t xml:space="preserve">                      </w:t>
      </w:r>
      <w:r>
        <w:rPr>
          <w:rFonts w:hint="eastAsia" w:ascii="宋体" w:hAnsi="宋体" w:cs="Arial"/>
          <w:color w:val="000000"/>
          <w:sz w:val="24"/>
          <w:szCs w:val="24"/>
        </w:rPr>
        <w:t xml:space="preserve">         </w:t>
      </w:r>
      <w:r>
        <w:rPr>
          <w:rFonts w:ascii="宋体" w:hAnsi="宋体" w:cs="Arial"/>
          <w:color w:val="000000"/>
          <w:sz w:val="24"/>
          <w:szCs w:val="24"/>
        </w:rPr>
        <w:t xml:space="preserve"> 日    期：</w:t>
      </w:r>
      <w:r>
        <w:rPr>
          <w:rFonts w:ascii="宋体" w:hAnsi="宋体" w:cs="Arial"/>
          <w:color w:val="000000"/>
          <w:sz w:val="24"/>
          <w:szCs w:val="24"/>
          <w:u w:val="single"/>
        </w:rPr>
        <w:t xml:space="preserve">           </w:t>
      </w:r>
      <w:r>
        <w:rPr>
          <w:rFonts w:hint="eastAsia" w:ascii="宋体" w:hAnsi="宋体" w:cs="Arial"/>
          <w:color w:val="000000"/>
          <w:sz w:val="24"/>
          <w:szCs w:val="24"/>
          <w:u w:val="single"/>
        </w:rPr>
        <w:t xml:space="preserve">         </w:t>
      </w:r>
      <w:r>
        <w:rPr>
          <w:rFonts w:ascii="宋体" w:hAnsi="宋体" w:cs="Arial"/>
          <w:color w:val="000000"/>
          <w:sz w:val="24"/>
          <w:szCs w:val="24"/>
          <w:u w:val="single"/>
        </w:rPr>
        <w:t xml:space="preserve">         </w:t>
      </w:r>
    </w:p>
    <w:p w14:paraId="74A6C18E">
      <w:pPr>
        <w:keepNext w:val="0"/>
        <w:keepLines w:val="0"/>
        <w:pageBreakBefore w:val="0"/>
        <w:widowControl w:val="0"/>
        <w:kinsoku/>
        <w:overflowPunct/>
        <w:topLinePunct w:val="0"/>
        <w:autoSpaceDE/>
        <w:autoSpaceDN/>
        <w:bidi w:val="0"/>
        <w:adjustRightInd/>
        <w:snapToGrid w:val="0"/>
        <w:spacing w:line="384" w:lineRule="auto"/>
        <w:textAlignment w:val="auto"/>
        <w:rPr>
          <w:rFonts w:ascii="宋体" w:hAnsi="宋体" w:cs="Arial"/>
          <w:color w:val="000000"/>
          <w:sz w:val="24"/>
          <w:szCs w:val="24"/>
          <w:u w:val="single"/>
        </w:rPr>
      </w:pPr>
      <w:r>
        <w:rPr>
          <w:rFonts w:ascii="宋体" w:hAnsi="宋体" w:cs="Arial"/>
          <w:color w:val="000000"/>
          <w:sz w:val="24"/>
          <w:szCs w:val="24"/>
        </w:rPr>
        <w:t xml:space="preserve">     </w:t>
      </w:r>
      <w:r>
        <w:rPr>
          <w:rFonts w:hint="eastAsia" w:ascii="宋体" w:hAnsi="宋体" w:cs="Arial"/>
          <w:color w:val="000000"/>
          <w:sz w:val="24"/>
          <w:szCs w:val="24"/>
        </w:rPr>
        <w:t xml:space="preserve">                   </w:t>
      </w:r>
      <w:r>
        <w:rPr>
          <w:rFonts w:ascii="宋体" w:hAnsi="宋体" w:cs="Arial"/>
          <w:color w:val="000000"/>
          <w:sz w:val="24"/>
          <w:szCs w:val="24"/>
        </w:rPr>
        <w:t>通讯地址：</w:t>
      </w:r>
      <w:r>
        <w:rPr>
          <w:rFonts w:ascii="宋体" w:hAnsi="宋体" w:cs="Arial"/>
          <w:color w:val="000000"/>
          <w:sz w:val="24"/>
          <w:szCs w:val="24"/>
          <w:u w:val="single"/>
        </w:rPr>
        <w:t xml:space="preserve">                 </w:t>
      </w:r>
      <w:r>
        <w:rPr>
          <w:rFonts w:hint="eastAsia" w:ascii="宋体" w:hAnsi="宋体" w:cs="Arial"/>
          <w:color w:val="000000"/>
          <w:sz w:val="24"/>
          <w:szCs w:val="24"/>
          <w:u w:val="single"/>
        </w:rPr>
        <w:t xml:space="preserve"> </w:t>
      </w:r>
      <w:r>
        <w:rPr>
          <w:rFonts w:ascii="宋体" w:hAnsi="宋体" w:cs="Arial"/>
          <w:color w:val="000000"/>
          <w:sz w:val="24"/>
          <w:szCs w:val="24"/>
          <w:u w:val="single"/>
        </w:rPr>
        <w:t xml:space="preserve">                    </w:t>
      </w:r>
    </w:p>
    <w:p w14:paraId="2462EB65">
      <w:pPr>
        <w:keepNext w:val="0"/>
        <w:keepLines w:val="0"/>
        <w:pageBreakBefore w:val="0"/>
        <w:widowControl w:val="0"/>
        <w:kinsoku/>
        <w:overflowPunct/>
        <w:topLinePunct w:val="0"/>
        <w:autoSpaceDE/>
        <w:autoSpaceDN/>
        <w:bidi w:val="0"/>
        <w:adjustRightInd/>
        <w:snapToGrid w:val="0"/>
        <w:spacing w:line="384" w:lineRule="auto"/>
        <w:ind w:firstLine="2894" w:firstLineChars="1206"/>
        <w:textAlignment w:val="auto"/>
        <w:rPr>
          <w:rFonts w:ascii="宋体" w:hAnsi="宋体" w:cs="Arial"/>
          <w:color w:val="000000"/>
          <w:sz w:val="24"/>
          <w:szCs w:val="24"/>
          <w:u w:val="single"/>
        </w:rPr>
      </w:pPr>
      <w:r>
        <w:rPr>
          <w:rFonts w:ascii="宋体" w:hAnsi="宋体" w:cs="Arial"/>
          <w:color w:val="000000"/>
          <w:sz w:val="24"/>
          <w:szCs w:val="24"/>
        </w:rPr>
        <w:t>邮政编码：</w:t>
      </w:r>
      <w:r>
        <w:rPr>
          <w:rFonts w:ascii="宋体" w:hAnsi="宋体" w:cs="Arial"/>
          <w:color w:val="000000"/>
          <w:sz w:val="24"/>
          <w:szCs w:val="24"/>
          <w:u w:val="single"/>
        </w:rPr>
        <w:t xml:space="preserve">           </w:t>
      </w:r>
      <w:r>
        <w:rPr>
          <w:rFonts w:ascii="宋体" w:hAnsi="宋体" w:cs="Arial"/>
          <w:color w:val="000000"/>
          <w:sz w:val="24"/>
          <w:szCs w:val="24"/>
        </w:rPr>
        <w:t xml:space="preserve">     电   话：</w:t>
      </w:r>
      <w:r>
        <w:rPr>
          <w:rFonts w:ascii="宋体" w:hAnsi="宋体" w:cs="Arial"/>
          <w:color w:val="000000"/>
          <w:sz w:val="24"/>
          <w:szCs w:val="24"/>
          <w:u w:val="single"/>
        </w:rPr>
        <w:t xml:space="preserve">            </w:t>
      </w:r>
    </w:p>
    <w:p w14:paraId="427817FB">
      <w:pPr>
        <w:keepNext w:val="0"/>
        <w:keepLines w:val="0"/>
        <w:pageBreakBefore w:val="0"/>
        <w:widowControl w:val="0"/>
        <w:kinsoku/>
        <w:overflowPunct/>
        <w:topLinePunct w:val="0"/>
        <w:autoSpaceDE/>
        <w:autoSpaceDN/>
        <w:bidi w:val="0"/>
        <w:adjustRightInd/>
        <w:snapToGrid w:val="0"/>
        <w:spacing w:line="384" w:lineRule="auto"/>
        <w:ind w:firstLine="2400" w:firstLineChars="1000"/>
        <w:textAlignment w:val="auto"/>
        <w:rPr>
          <w:rFonts w:ascii="宋体" w:hAnsi="宋体" w:cs="Arial"/>
          <w:color w:val="000000"/>
          <w:sz w:val="24"/>
          <w:szCs w:val="24"/>
        </w:rPr>
      </w:pPr>
      <w:r>
        <w:rPr>
          <w:rFonts w:hint="eastAsia" w:ascii="宋体" w:hAnsi="宋体" w:cs="Arial"/>
          <w:color w:val="000000"/>
          <w:sz w:val="24"/>
          <w:szCs w:val="24"/>
        </w:rPr>
        <w:t>投标供应商</w:t>
      </w:r>
      <w:r>
        <w:rPr>
          <w:rFonts w:ascii="宋体" w:hAnsi="宋体" w:cs="Arial"/>
          <w:color w:val="000000"/>
          <w:sz w:val="24"/>
          <w:szCs w:val="24"/>
        </w:rPr>
        <w:t xml:space="preserve">开户行: </w:t>
      </w:r>
      <w:r>
        <w:rPr>
          <w:rFonts w:ascii="宋体" w:hAnsi="宋体" w:cs="Arial"/>
          <w:color w:val="000000"/>
          <w:sz w:val="24"/>
          <w:szCs w:val="24"/>
          <w:u w:val="single"/>
        </w:rPr>
        <w:t xml:space="preserve">            </w:t>
      </w:r>
      <w:r>
        <w:rPr>
          <w:rFonts w:hint="eastAsia" w:ascii="宋体" w:hAnsi="宋体" w:cs="Arial"/>
          <w:color w:val="000000"/>
          <w:sz w:val="24"/>
          <w:szCs w:val="24"/>
          <w:u w:val="single"/>
        </w:rPr>
        <w:t xml:space="preserve">       </w:t>
      </w:r>
      <w:r>
        <w:rPr>
          <w:rFonts w:ascii="宋体" w:hAnsi="宋体" w:cs="Arial"/>
          <w:color w:val="000000"/>
          <w:sz w:val="24"/>
          <w:szCs w:val="24"/>
          <w:u w:val="single"/>
        </w:rPr>
        <w:t xml:space="preserve">                   </w:t>
      </w:r>
    </w:p>
    <w:p w14:paraId="519B7B72">
      <w:pPr>
        <w:keepNext w:val="0"/>
        <w:keepLines w:val="0"/>
        <w:pageBreakBefore w:val="0"/>
        <w:widowControl w:val="0"/>
        <w:kinsoku/>
        <w:overflowPunct/>
        <w:topLinePunct w:val="0"/>
        <w:autoSpaceDE/>
        <w:autoSpaceDN/>
        <w:bidi w:val="0"/>
        <w:adjustRightInd/>
        <w:snapToGrid w:val="0"/>
        <w:spacing w:line="480" w:lineRule="auto"/>
        <w:ind w:firstLine="2414" w:firstLineChars="1006"/>
        <w:textAlignment w:val="auto"/>
        <w:rPr>
          <w:rFonts w:hint="eastAsia" w:ascii="宋体" w:hAnsi="宋体" w:cs="Arial"/>
          <w:color w:val="000000"/>
          <w:sz w:val="24"/>
          <w:szCs w:val="24"/>
          <w:u w:val="single"/>
        </w:rPr>
      </w:pPr>
      <w:r>
        <w:rPr>
          <w:rFonts w:ascii="宋体" w:hAnsi="宋体" w:cs="Arial"/>
          <w:color w:val="000000"/>
          <w:sz w:val="24"/>
          <w:szCs w:val="24"/>
        </w:rPr>
        <w:t xml:space="preserve">账        号: </w:t>
      </w:r>
      <w:r>
        <w:rPr>
          <w:rFonts w:ascii="宋体" w:hAnsi="宋体" w:cs="Arial"/>
          <w:color w:val="000000"/>
          <w:sz w:val="24"/>
          <w:szCs w:val="24"/>
          <w:u w:val="single"/>
        </w:rPr>
        <w:t xml:space="preserve">        </w:t>
      </w:r>
      <w:r>
        <w:rPr>
          <w:rFonts w:hint="eastAsia" w:ascii="宋体" w:hAnsi="宋体" w:cs="Arial"/>
          <w:color w:val="000000"/>
          <w:sz w:val="24"/>
          <w:szCs w:val="24"/>
          <w:u w:val="single"/>
        </w:rPr>
        <w:t xml:space="preserve">        </w:t>
      </w:r>
      <w:r>
        <w:rPr>
          <w:rFonts w:ascii="宋体" w:hAnsi="宋体" w:cs="Arial"/>
          <w:color w:val="000000"/>
          <w:sz w:val="24"/>
          <w:szCs w:val="24"/>
          <w:u w:val="single"/>
        </w:rPr>
        <w:t xml:space="preserve">                       </w:t>
      </w:r>
    </w:p>
    <w:p w14:paraId="654CD141">
      <w:pPr>
        <w:keepNext w:val="0"/>
        <w:keepLines w:val="0"/>
        <w:pageBreakBefore w:val="0"/>
        <w:widowControl w:val="0"/>
        <w:kinsoku/>
        <w:wordWrap w:val="0"/>
        <w:overflowPunct/>
        <w:topLinePunct w:val="0"/>
        <w:autoSpaceDE/>
        <w:autoSpaceDN/>
        <w:bidi w:val="0"/>
        <w:adjustRightInd/>
        <w:snapToGrid w:val="0"/>
        <w:spacing w:line="480" w:lineRule="auto"/>
        <w:jc w:val="center"/>
        <w:textAlignment w:val="auto"/>
        <w:rPr>
          <w:rFonts w:hint="eastAsia" w:ascii="宋体" w:hAnsi="宋体"/>
          <w:b/>
          <w:sz w:val="28"/>
          <w:szCs w:val="28"/>
          <w:highlight w:val="none"/>
          <w:lang w:eastAsia="zh-CN"/>
        </w:rPr>
      </w:pPr>
      <w:r>
        <w:rPr>
          <w:rFonts w:hint="eastAsia"/>
          <w:b/>
          <w:bCs/>
          <w:sz w:val="32"/>
          <w:szCs w:val="32"/>
        </w:rPr>
        <w:t>备注：响应函中未填写报价作无效响应文件处理。</w:t>
      </w:r>
      <w:r>
        <w:rPr>
          <w:b/>
          <w:bCs/>
          <w:sz w:val="32"/>
          <w:szCs w:val="32"/>
        </w:rPr>
        <w:br w:type="page"/>
      </w:r>
      <w:bookmarkStart w:id="123" w:name="_Toc27065"/>
      <w:bookmarkStart w:id="124" w:name="_Toc11073"/>
    </w:p>
    <w:p w14:paraId="3AEB3203">
      <w:pPr>
        <w:spacing w:line="360" w:lineRule="exact"/>
        <w:ind w:firstLine="413" w:firstLineChars="147"/>
        <w:jc w:val="center"/>
        <w:rPr>
          <w:rFonts w:hint="eastAsia" w:ascii="宋体" w:hAnsi="宋体" w:eastAsia="宋体"/>
          <w:b/>
          <w:sz w:val="28"/>
          <w:szCs w:val="28"/>
          <w:highlight w:val="none"/>
          <w:lang w:eastAsia="zh-CN"/>
        </w:rPr>
      </w:pPr>
      <w:r>
        <w:rPr>
          <w:rFonts w:hint="eastAsia" w:ascii="宋体" w:hAnsi="宋体"/>
          <w:b/>
          <w:sz w:val="28"/>
          <w:szCs w:val="28"/>
          <w:highlight w:val="none"/>
          <w:lang w:eastAsia="zh-CN"/>
        </w:rPr>
        <w:t>二、</w:t>
      </w:r>
      <w:r>
        <w:rPr>
          <w:rFonts w:hint="eastAsia" w:ascii="宋体" w:hAnsi="宋体"/>
          <w:b/>
          <w:sz w:val="28"/>
          <w:szCs w:val="28"/>
          <w:highlight w:val="none"/>
        </w:rPr>
        <w:t>开标一览表</w:t>
      </w:r>
      <w:bookmarkEnd w:id="123"/>
      <w:bookmarkEnd w:id="124"/>
    </w:p>
    <w:p w14:paraId="3AADE14F">
      <w:pPr>
        <w:spacing w:line="360" w:lineRule="exact"/>
        <w:rPr>
          <w:rFonts w:hint="default" w:ascii="宋体" w:hAnsi="宋体" w:eastAsia="宋体"/>
          <w:b/>
          <w:sz w:val="24"/>
          <w:szCs w:val="24"/>
          <w:highlight w:val="none"/>
          <w:lang w:val="en-US" w:eastAsia="zh-CN"/>
        </w:rPr>
      </w:pPr>
      <w:r>
        <w:rPr>
          <w:rFonts w:hint="eastAsia" w:ascii="宋体" w:hAnsi="宋体"/>
          <w:b/>
          <w:sz w:val="24"/>
          <w:szCs w:val="24"/>
          <w:highlight w:val="none"/>
          <w:lang w:val="en-US" w:eastAsia="zh-CN"/>
        </w:rPr>
        <w:t>2-1、报价表</w:t>
      </w:r>
    </w:p>
    <w:tbl>
      <w:tblPr>
        <w:tblStyle w:val="28"/>
        <w:tblpPr w:leftFromText="180" w:rightFromText="180" w:vertAnchor="text" w:horzAnchor="page" w:tblpX="1255" w:tblpY="327"/>
        <w:tblOverlap w:val="never"/>
        <w:tblW w:w="102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07"/>
        <w:gridCol w:w="7932"/>
      </w:tblGrid>
      <w:tr w14:paraId="02EECE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4" w:hRule="exact"/>
        </w:trPr>
        <w:tc>
          <w:tcPr>
            <w:tcW w:w="2307" w:type="dxa"/>
            <w:tcBorders>
              <w:top w:val="single" w:color="auto" w:sz="12" w:space="0"/>
              <w:bottom w:val="single" w:color="auto" w:sz="12" w:space="0"/>
              <w:right w:val="single" w:color="auto" w:sz="12" w:space="0"/>
            </w:tcBorders>
            <w:vAlign w:val="center"/>
          </w:tcPr>
          <w:p w14:paraId="26B08710">
            <w:pPr>
              <w:spacing w:line="460" w:lineRule="exact"/>
              <w:jc w:val="center"/>
              <w:rPr>
                <w:rFonts w:ascii="宋体"/>
                <w:sz w:val="24"/>
                <w:szCs w:val="24"/>
                <w:highlight w:val="none"/>
              </w:rPr>
            </w:pPr>
            <w:r>
              <w:rPr>
                <w:rFonts w:hint="eastAsia" w:ascii="宋体"/>
                <w:sz w:val="24"/>
                <w:szCs w:val="24"/>
                <w:highlight w:val="none"/>
              </w:rPr>
              <w:t>项目名称</w:t>
            </w:r>
          </w:p>
        </w:tc>
        <w:tc>
          <w:tcPr>
            <w:tcW w:w="7932" w:type="dxa"/>
            <w:tcBorders>
              <w:top w:val="single" w:color="auto" w:sz="12" w:space="0"/>
              <w:left w:val="single" w:color="auto" w:sz="12" w:space="0"/>
              <w:bottom w:val="single" w:color="auto" w:sz="12" w:space="0"/>
            </w:tcBorders>
            <w:vAlign w:val="center"/>
          </w:tcPr>
          <w:p w14:paraId="26C85A2C">
            <w:pPr>
              <w:spacing w:line="360" w:lineRule="auto"/>
              <w:jc w:val="left"/>
              <w:rPr>
                <w:sz w:val="24"/>
                <w:szCs w:val="24"/>
                <w:highlight w:val="none"/>
              </w:rPr>
            </w:pPr>
            <w:r>
              <w:rPr>
                <w:rFonts w:hint="eastAsia"/>
                <w:sz w:val="24"/>
                <w:szCs w:val="24"/>
                <w:highlight w:val="none"/>
              </w:rPr>
              <w:t xml:space="preserve">         </w:t>
            </w:r>
          </w:p>
        </w:tc>
      </w:tr>
      <w:tr w14:paraId="4FB47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6" w:hRule="exact"/>
        </w:trPr>
        <w:tc>
          <w:tcPr>
            <w:tcW w:w="2307" w:type="dxa"/>
            <w:tcBorders>
              <w:top w:val="single" w:color="auto" w:sz="12" w:space="0"/>
              <w:right w:val="single" w:color="auto" w:sz="12" w:space="0"/>
            </w:tcBorders>
            <w:vAlign w:val="center"/>
          </w:tcPr>
          <w:p w14:paraId="5686D041">
            <w:pPr>
              <w:spacing w:line="460" w:lineRule="exact"/>
              <w:jc w:val="center"/>
              <w:rPr>
                <w:rFonts w:ascii="宋体"/>
                <w:sz w:val="24"/>
                <w:szCs w:val="24"/>
                <w:highlight w:val="none"/>
              </w:rPr>
            </w:pPr>
            <w:r>
              <w:rPr>
                <w:rFonts w:hint="eastAsia" w:ascii="宋体"/>
                <w:sz w:val="24"/>
                <w:szCs w:val="24"/>
                <w:highlight w:val="none"/>
              </w:rPr>
              <w:t>项目编号</w:t>
            </w:r>
          </w:p>
        </w:tc>
        <w:tc>
          <w:tcPr>
            <w:tcW w:w="7932" w:type="dxa"/>
            <w:tcBorders>
              <w:top w:val="single" w:color="auto" w:sz="12" w:space="0"/>
              <w:left w:val="single" w:color="auto" w:sz="12" w:space="0"/>
            </w:tcBorders>
            <w:vAlign w:val="center"/>
          </w:tcPr>
          <w:p w14:paraId="7A102940">
            <w:pPr>
              <w:rPr>
                <w:rFonts w:ascii="宋体"/>
                <w:sz w:val="24"/>
                <w:szCs w:val="24"/>
                <w:highlight w:val="none"/>
              </w:rPr>
            </w:pPr>
          </w:p>
        </w:tc>
      </w:tr>
      <w:tr w14:paraId="34AD5B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7" w:hRule="exact"/>
        </w:trPr>
        <w:tc>
          <w:tcPr>
            <w:tcW w:w="2307" w:type="dxa"/>
            <w:tcBorders>
              <w:top w:val="single" w:color="auto" w:sz="12" w:space="0"/>
              <w:right w:val="single" w:color="auto" w:sz="12" w:space="0"/>
            </w:tcBorders>
            <w:vAlign w:val="center"/>
          </w:tcPr>
          <w:p w14:paraId="31E6D787">
            <w:pPr>
              <w:spacing w:line="460" w:lineRule="exact"/>
              <w:jc w:val="center"/>
              <w:rPr>
                <w:rFonts w:hint="eastAsia" w:ascii="宋体" w:eastAsia="宋体"/>
                <w:sz w:val="24"/>
                <w:szCs w:val="24"/>
                <w:highlight w:val="none"/>
                <w:lang w:eastAsia="zh-CN"/>
              </w:rPr>
            </w:pPr>
            <w:r>
              <w:rPr>
                <w:rFonts w:hint="eastAsia" w:ascii="宋体"/>
                <w:sz w:val="24"/>
                <w:szCs w:val="24"/>
                <w:highlight w:val="none"/>
                <w:lang w:eastAsia="zh-CN"/>
              </w:rPr>
              <w:t>包别</w:t>
            </w:r>
          </w:p>
        </w:tc>
        <w:tc>
          <w:tcPr>
            <w:tcW w:w="7932" w:type="dxa"/>
            <w:tcBorders>
              <w:top w:val="single" w:color="auto" w:sz="12" w:space="0"/>
              <w:left w:val="single" w:color="auto" w:sz="12" w:space="0"/>
            </w:tcBorders>
            <w:vAlign w:val="center"/>
          </w:tcPr>
          <w:p w14:paraId="6347255B">
            <w:pPr>
              <w:rPr>
                <w:rFonts w:ascii="宋体"/>
                <w:sz w:val="24"/>
                <w:szCs w:val="24"/>
                <w:highlight w:val="none"/>
              </w:rPr>
            </w:pPr>
          </w:p>
        </w:tc>
      </w:tr>
      <w:tr w14:paraId="01686D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65" w:hRule="exact"/>
        </w:trPr>
        <w:tc>
          <w:tcPr>
            <w:tcW w:w="2307" w:type="dxa"/>
            <w:tcBorders>
              <w:right w:val="single" w:color="auto" w:sz="12" w:space="0"/>
            </w:tcBorders>
            <w:vAlign w:val="center"/>
          </w:tcPr>
          <w:p w14:paraId="3206506B">
            <w:pPr>
              <w:spacing w:line="460" w:lineRule="exact"/>
              <w:ind w:firstLine="120" w:firstLineChars="50"/>
              <w:jc w:val="center"/>
              <w:rPr>
                <w:rFonts w:ascii="宋体"/>
                <w:sz w:val="24"/>
                <w:szCs w:val="24"/>
                <w:highlight w:val="none"/>
              </w:rPr>
            </w:pPr>
            <w:r>
              <w:rPr>
                <w:rFonts w:hint="eastAsia" w:ascii="宋体"/>
                <w:sz w:val="24"/>
                <w:szCs w:val="24"/>
                <w:highlight w:val="none"/>
                <w:lang w:eastAsia="zh-CN"/>
              </w:rPr>
              <w:t>供应商</w:t>
            </w:r>
            <w:r>
              <w:rPr>
                <w:rFonts w:hint="eastAsia" w:ascii="宋体"/>
                <w:sz w:val="24"/>
                <w:szCs w:val="24"/>
                <w:highlight w:val="none"/>
              </w:rPr>
              <w:t>名称</w:t>
            </w:r>
          </w:p>
        </w:tc>
        <w:tc>
          <w:tcPr>
            <w:tcW w:w="7932" w:type="dxa"/>
            <w:tcBorders>
              <w:left w:val="single" w:color="auto" w:sz="12" w:space="0"/>
            </w:tcBorders>
            <w:vAlign w:val="top"/>
          </w:tcPr>
          <w:p w14:paraId="06941380">
            <w:pPr>
              <w:pStyle w:val="15"/>
              <w:spacing w:line="460" w:lineRule="exact"/>
              <w:ind w:left="86" w:leftChars="41"/>
              <w:rPr>
                <w:rFonts w:ascii="宋体"/>
                <w:sz w:val="24"/>
                <w:szCs w:val="24"/>
                <w:highlight w:val="none"/>
              </w:rPr>
            </w:pPr>
          </w:p>
        </w:tc>
      </w:tr>
      <w:tr w14:paraId="678652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6" w:hRule="exact"/>
        </w:trPr>
        <w:tc>
          <w:tcPr>
            <w:tcW w:w="2307" w:type="dxa"/>
            <w:tcBorders>
              <w:right w:val="single" w:color="auto" w:sz="12" w:space="0"/>
            </w:tcBorders>
            <w:vAlign w:val="center"/>
          </w:tcPr>
          <w:p w14:paraId="22989B55">
            <w:pPr>
              <w:snapToGrid w:val="0"/>
              <w:jc w:val="center"/>
              <w:rPr>
                <w:rFonts w:hint="eastAsia" w:ascii="宋体"/>
                <w:b w:val="0"/>
                <w:bCs w:val="0"/>
                <w:sz w:val="24"/>
                <w:szCs w:val="24"/>
                <w:highlight w:val="none"/>
                <w:lang w:eastAsia="zh-CN"/>
              </w:rPr>
            </w:pPr>
            <w:r>
              <w:rPr>
                <w:rFonts w:hint="eastAsia" w:ascii="宋体" w:hAnsi="宋体" w:eastAsia="宋体" w:cs="宋体"/>
                <w:b w:val="0"/>
                <w:bCs w:val="0"/>
                <w:color w:val="auto"/>
                <w:kern w:val="2"/>
                <w:sz w:val="24"/>
                <w:szCs w:val="24"/>
                <w:highlight w:val="none"/>
              </w:rPr>
              <w:t>是否响应付款方式</w:t>
            </w:r>
          </w:p>
        </w:tc>
        <w:tc>
          <w:tcPr>
            <w:tcW w:w="7932" w:type="dxa"/>
            <w:tcBorders>
              <w:left w:val="single" w:color="auto" w:sz="12" w:space="0"/>
            </w:tcBorders>
            <w:vAlign w:val="center"/>
          </w:tcPr>
          <w:p w14:paraId="0E164572">
            <w:pPr>
              <w:snapToGrid w:val="0"/>
              <w:jc w:val="both"/>
              <w:rPr>
                <w:rFonts w:ascii="宋体"/>
                <w:b w:val="0"/>
                <w:bCs w:val="0"/>
                <w:sz w:val="24"/>
                <w:szCs w:val="24"/>
                <w:highlight w:val="none"/>
              </w:rPr>
            </w:pPr>
            <w:r>
              <w:rPr>
                <w:rFonts w:hint="eastAsia" w:ascii="宋体" w:hAnsi="宋体" w:eastAsia="宋体" w:cs="宋体"/>
                <w:b w:val="0"/>
                <w:bCs w:val="0"/>
                <w:color w:val="auto"/>
                <w:kern w:val="2"/>
                <w:sz w:val="24"/>
                <w:szCs w:val="24"/>
                <w:highlight w:val="none"/>
              </w:rPr>
              <w:t>是□    否□   （划√）</w:t>
            </w:r>
          </w:p>
        </w:tc>
      </w:tr>
      <w:tr w14:paraId="56DE5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96" w:hRule="exact"/>
        </w:trPr>
        <w:tc>
          <w:tcPr>
            <w:tcW w:w="2307" w:type="dxa"/>
            <w:tcBorders>
              <w:right w:val="single" w:color="auto" w:sz="12" w:space="0"/>
            </w:tcBorders>
            <w:vAlign w:val="center"/>
          </w:tcPr>
          <w:p w14:paraId="0FF3F474">
            <w:pPr>
              <w:spacing w:line="460" w:lineRule="exact"/>
              <w:jc w:val="center"/>
              <w:rPr>
                <w:rFonts w:ascii="宋体"/>
                <w:sz w:val="24"/>
                <w:szCs w:val="24"/>
                <w:highlight w:val="none"/>
              </w:rPr>
            </w:pPr>
            <w:r>
              <w:rPr>
                <w:rFonts w:hint="eastAsia" w:ascii="宋体"/>
                <w:sz w:val="24"/>
                <w:szCs w:val="24"/>
                <w:highlight w:val="none"/>
                <w:lang w:eastAsia="zh-CN"/>
              </w:rPr>
              <w:t>服务期限</w:t>
            </w:r>
          </w:p>
        </w:tc>
        <w:tc>
          <w:tcPr>
            <w:tcW w:w="7932" w:type="dxa"/>
            <w:tcBorders>
              <w:left w:val="single" w:color="auto" w:sz="12" w:space="0"/>
            </w:tcBorders>
            <w:vAlign w:val="top"/>
          </w:tcPr>
          <w:p w14:paraId="756B5BB4">
            <w:pPr>
              <w:pStyle w:val="15"/>
              <w:spacing w:line="460" w:lineRule="exact"/>
              <w:ind w:left="86" w:leftChars="41"/>
              <w:rPr>
                <w:rFonts w:ascii="宋体"/>
                <w:sz w:val="24"/>
                <w:szCs w:val="24"/>
                <w:highlight w:val="none"/>
              </w:rPr>
            </w:pPr>
          </w:p>
        </w:tc>
      </w:tr>
      <w:tr w14:paraId="2F332B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14" w:hRule="exact"/>
        </w:trPr>
        <w:tc>
          <w:tcPr>
            <w:tcW w:w="2307" w:type="dxa"/>
            <w:tcBorders>
              <w:right w:val="single" w:color="auto" w:sz="12" w:space="0"/>
            </w:tcBorders>
            <w:vAlign w:val="center"/>
          </w:tcPr>
          <w:p w14:paraId="2BB74780">
            <w:pPr>
              <w:spacing w:line="460" w:lineRule="exact"/>
              <w:jc w:val="center"/>
              <w:rPr>
                <w:rFonts w:hint="eastAsia" w:ascii="宋体"/>
                <w:sz w:val="24"/>
                <w:szCs w:val="24"/>
                <w:highlight w:val="none"/>
                <w:lang w:eastAsia="zh-CN"/>
              </w:rPr>
            </w:pPr>
            <w:r>
              <w:rPr>
                <w:rFonts w:hint="eastAsia" w:ascii="宋体"/>
                <w:sz w:val="24"/>
                <w:szCs w:val="24"/>
                <w:highlight w:val="none"/>
                <w:lang w:eastAsia="zh-CN"/>
              </w:rPr>
              <w:t>免费质保期</w:t>
            </w:r>
          </w:p>
        </w:tc>
        <w:tc>
          <w:tcPr>
            <w:tcW w:w="7932" w:type="dxa"/>
            <w:tcBorders>
              <w:left w:val="single" w:color="auto" w:sz="12" w:space="0"/>
            </w:tcBorders>
            <w:vAlign w:val="top"/>
          </w:tcPr>
          <w:p w14:paraId="2C3ECF5C">
            <w:pPr>
              <w:pStyle w:val="15"/>
              <w:spacing w:line="460" w:lineRule="exact"/>
              <w:ind w:left="86" w:leftChars="41"/>
              <w:rPr>
                <w:rFonts w:ascii="宋体"/>
                <w:sz w:val="24"/>
                <w:szCs w:val="24"/>
                <w:highlight w:val="none"/>
              </w:rPr>
            </w:pPr>
          </w:p>
        </w:tc>
      </w:tr>
      <w:tr w14:paraId="150524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0" w:hRule="exact"/>
        </w:trPr>
        <w:tc>
          <w:tcPr>
            <w:tcW w:w="2307" w:type="dxa"/>
            <w:tcBorders>
              <w:right w:val="single" w:color="auto" w:sz="12" w:space="0"/>
            </w:tcBorders>
            <w:vAlign w:val="center"/>
          </w:tcPr>
          <w:p w14:paraId="29AFA69A">
            <w:pPr>
              <w:spacing w:line="360" w:lineRule="auto"/>
              <w:jc w:val="center"/>
              <w:rPr>
                <w:rFonts w:hint="eastAsia" w:ascii="宋体"/>
                <w:sz w:val="24"/>
                <w:szCs w:val="24"/>
                <w:highlight w:val="none"/>
              </w:rPr>
            </w:pPr>
            <w:r>
              <w:rPr>
                <w:rFonts w:hint="eastAsia" w:ascii="宋体"/>
                <w:sz w:val="24"/>
                <w:szCs w:val="24"/>
                <w:highlight w:val="none"/>
              </w:rPr>
              <w:t>投标报价</w:t>
            </w:r>
          </w:p>
          <w:p w14:paraId="6BA9D322">
            <w:pPr>
              <w:spacing w:line="360" w:lineRule="auto"/>
              <w:jc w:val="center"/>
              <w:rPr>
                <w:rFonts w:ascii="宋体"/>
                <w:sz w:val="24"/>
                <w:szCs w:val="24"/>
                <w:highlight w:val="none"/>
              </w:rPr>
            </w:pPr>
            <w:r>
              <w:rPr>
                <w:rFonts w:hint="eastAsia" w:ascii="宋体"/>
                <w:sz w:val="24"/>
                <w:szCs w:val="24"/>
                <w:highlight w:val="none"/>
                <w:lang w:eastAsia="zh-CN"/>
              </w:rPr>
              <w:t>（单位</w:t>
            </w:r>
            <w:r>
              <w:rPr>
                <w:rFonts w:hint="eastAsia" w:ascii="宋体"/>
                <w:sz w:val="24"/>
                <w:szCs w:val="24"/>
                <w:highlight w:val="none"/>
                <w:lang w:val="en-US" w:eastAsia="zh-CN"/>
              </w:rPr>
              <w:t>/元/年</w:t>
            </w:r>
            <w:r>
              <w:rPr>
                <w:rFonts w:hint="eastAsia" w:ascii="宋体"/>
                <w:sz w:val="24"/>
                <w:szCs w:val="24"/>
                <w:highlight w:val="none"/>
                <w:lang w:eastAsia="zh-CN"/>
              </w:rPr>
              <w:t>）</w:t>
            </w:r>
            <w:r>
              <w:rPr>
                <w:rFonts w:hint="eastAsia" w:ascii="宋体"/>
                <w:sz w:val="24"/>
                <w:szCs w:val="24"/>
                <w:highlight w:val="none"/>
                <w:lang w:val="en-US" w:eastAsia="zh-CN"/>
              </w:rPr>
              <w:t xml:space="preserve">      </w:t>
            </w:r>
          </w:p>
        </w:tc>
        <w:tc>
          <w:tcPr>
            <w:tcW w:w="7932" w:type="dxa"/>
            <w:tcBorders>
              <w:left w:val="single" w:color="auto" w:sz="12" w:space="0"/>
            </w:tcBorders>
            <w:vAlign w:val="center"/>
          </w:tcPr>
          <w:p w14:paraId="67C816AC">
            <w:pPr>
              <w:pStyle w:val="27"/>
              <w:spacing w:line="360" w:lineRule="auto"/>
              <w:ind w:left="0" w:leftChars="0" w:firstLine="0" w:firstLineChars="0"/>
              <w:rPr>
                <w:rFonts w:hint="default"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小写：_____________</w:t>
            </w:r>
          </w:p>
          <w:p w14:paraId="2E6A081B">
            <w:pPr>
              <w:pStyle w:val="27"/>
              <w:spacing w:line="360" w:lineRule="auto"/>
              <w:ind w:left="0" w:leftChars="0" w:firstLine="0" w:firstLineChars="0"/>
              <w:rPr>
                <w:rFonts w:hint="default"/>
                <w:highlight w:val="none"/>
                <w:lang w:val="en-US"/>
              </w:rPr>
            </w:pPr>
            <w:r>
              <w:rPr>
                <w:rFonts w:hint="eastAsia" w:ascii="宋体" w:hAnsi="Times New Roman" w:eastAsia="宋体" w:cs="Times New Roman"/>
                <w:kern w:val="2"/>
                <w:sz w:val="24"/>
                <w:szCs w:val="24"/>
                <w:highlight w:val="none"/>
                <w:lang w:val="en-US" w:eastAsia="zh-CN" w:bidi="ar-SA"/>
              </w:rPr>
              <w:t>大写：</w:t>
            </w:r>
            <w:r>
              <w:rPr>
                <w:rFonts w:hint="eastAsia" w:ascii="宋体" w:eastAsia="宋体" w:cs="Times New Roman"/>
                <w:kern w:val="2"/>
                <w:sz w:val="24"/>
                <w:szCs w:val="24"/>
                <w:highlight w:val="none"/>
                <w:u w:val="single"/>
                <w:lang w:val="en-US" w:eastAsia="zh-CN" w:bidi="ar-SA"/>
              </w:rPr>
              <w:t xml:space="preserve">             </w:t>
            </w:r>
            <w:r>
              <w:rPr>
                <w:rFonts w:hint="eastAsia" w:ascii="宋体" w:eastAsia="宋体" w:cs="Times New Roman"/>
                <w:kern w:val="2"/>
                <w:sz w:val="24"/>
                <w:szCs w:val="24"/>
                <w:highlight w:val="none"/>
                <w:lang w:val="en-US" w:eastAsia="zh-CN" w:bidi="ar-SA"/>
              </w:rPr>
              <w:t xml:space="preserve"> </w:t>
            </w:r>
          </w:p>
        </w:tc>
      </w:tr>
    </w:tbl>
    <w:p w14:paraId="2C08FC62">
      <w:pPr>
        <w:snapToGrid w:val="0"/>
        <w:spacing w:before="50" w:after="50" w:line="360" w:lineRule="auto"/>
        <w:jc w:val="left"/>
        <w:rPr>
          <w:rFonts w:hint="eastAsia"/>
          <w:b/>
          <w:bCs/>
          <w:color w:val="FF0000"/>
          <w:sz w:val="21"/>
          <w:szCs w:val="21"/>
          <w:highlight w:val="none"/>
        </w:rPr>
      </w:pPr>
      <w:r>
        <w:rPr>
          <w:rFonts w:hAnsi="宋体"/>
          <w:b/>
          <w:bCs/>
          <w:color w:val="FF0000"/>
          <w:sz w:val="21"/>
          <w:szCs w:val="21"/>
          <w:highlight w:val="none"/>
        </w:rPr>
        <w:t>注</w:t>
      </w:r>
      <w:r>
        <w:rPr>
          <w:b/>
          <w:bCs/>
          <w:color w:val="FF0000"/>
          <w:sz w:val="21"/>
          <w:szCs w:val="21"/>
          <w:highlight w:val="none"/>
        </w:rPr>
        <w:t>:</w:t>
      </w:r>
      <w:r>
        <w:rPr>
          <w:rFonts w:hint="eastAsia"/>
          <w:b/>
          <w:bCs/>
          <w:color w:val="FF0000"/>
          <w:sz w:val="21"/>
          <w:szCs w:val="21"/>
          <w:highlight w:val="none"/>
        </w:rPr>
        <w:t>1.本表内容根据磋商文件要求包括了磋商文件要求提供的全部内容的所有费用。</w:t>
      </w:r>
    </w:p>
    <w:p w14:paraId="3DA10B6B">
      <w:pPr>
        <w:snapToGrid w:val="0"/>
        <w:spacing w:before="50" w:after="50" w:line="360" w:lineRule="auto"/>
        <w:jc w:val="left"/>
        <w:rPr>
          <w:rFonts w:hint="eastAsia"/>
          <w:b/>
          <w:bCs/>
          <w:color w:val="FF0000"/>
          <w:sz w:val="21"/>
          <w:szCs w:val="21"/>
          <w:highlight w:val="none"/>
        </w:rPr>
      </w:pPr>
      <w:r>
        <w:rPr>
          <w:rFonts w:hint="eastAsia"/>
          <w:b/>
          <w:bCs/>
          <w:color w:val="FF0000"/>
          <w:sz w:val="21"/>
          <w:szCs w:val="21"/>
          <w:highlight w:val="none"/>
        </w:rPr>
        <w:t>2.特殊事项在备注中注明。</w:t>
      </w:r>
    </w:p>
    <w:p w14:paraId="25F3AD99">
      <w:pPr>
        <w:snapToGrid w:val="0"/>
        <w:spacing w:before="50" w:after="50" w:line="360" w:lineRule="auto"/>
        <w:jc w:val="left"/>
        <w:rPr>
          <w:rFonts w:hint="eastAsia" w:hAnsi="宋体" w:eastAsia="宋体"/>
          <w:b/>
          <w:bCs/>
          <w:color w:val="FF0000"/>
          <w:sz w:val="21"/>
          <w:szCs w:val="21"/>
          <w:highlight w:val="none"/>
          <w:lang w:eastAsia="zh-CN"/>
        </w:rPr>
      </w:pPr>
      <w:r>
        <w:rPr>
          <w:rFonts w:hint="eastAsia"/>
          <w:b/>
          <w:bCs/>
          <w:color w:val="FF0000"/>
          <w:sz w:val="21"/>
          <w:szCs w:val="21"/>
          <w:highlight w:val="none"/>
        </w:rPr>
        <w:t>3.供应商应根据其响应文件中报价表的内容填写唱标信息，唱标信息不作为评审的依据。唱标信息与报价表不一致的，以报价表为准</w:t>
      </w:r>
      <w:r>
        <w:rPr>
          <w:rFonts w:hint="eastAsia"/>
          <w:b/>
          <w:bCs/>
          <w:color w:val="FF0000"/>
          <w:sz w:val="21"/>
          <w:szCs w:val="21"/>
          <w:highlight w:val="none"/>
          <w:lang w:eastAsia="zh-CN"/>
        </w:rPr>
        <w:t>。</w:t>
      </w:r>
    </w:p>
    <w:p w14:paraId="58DFC866">
      <w:pPr>
        <w:snapToGrid w:val="0"/>
        <w:spacing w:before="50" w:after="50" w:line="360" w:lineRule="auto"/>
        <w:jc w:val="left"/>
        <w:rPr>
          <w:rFonts w:hint="eastAsia"/>
          <w:b/>
          <w:bCs/>
          <w:color w:val="0000FF"/>
          <w:sz w:val="21"/>
          <w:szCs w:val="21"/>
          <w:highlight w:val="none"/>
          <w:lang w:val="en-US" w:eastAsia="zh-CN"/>
        </w:rPr>
      </w:pPr>
    </w:p>
    <w:p w14:paraId="12203355">
      <w:pPr>
        <w:rPr>
          <w:rFonts w:ascii="宋体" w:hAnsi="宋体"/>
          <w:sz w:val="24"/>
          <w:szCs w:val="24"/>
          <w:highlight w:val="none"/>
        </w:rPr>
      </w:pPr>
      <w:bookmarkStart w:id="125" w:name="_Toc1575"/>
      <w:bookmarkStart w:id="126" w:name="_Toc487790677"/>
      <w:bookmarkStart w:id="127" w:name="_Toc31235_WPSOffice_Level2"/>
      <w:bookmarkStart w:id="128" w:name="_Toc10873_WPSOffice_Level2"/>
      <w:r>
        <w:rPr>
          <w:rFonts w:hint="eastAsia" w:ascii="宋体" w:hAnsi="宋体"/>
          <w:sz w:val="24"/>
          <w:szCs w:val="24"/>
          <w:highlight w:val="none"/>
          <w:lang w:eastAsia="zh-CN"/>
        </w:rPr>
        <w:t>法定代表人或授权代理人（签字或盖章）：</w:t>
      </w:r>
      <w:r>
        <w:rPr>
          <w:rFonts w:hint="eastAsia" w:ascii="宋体" w:hAnsi="宋体"/>
          <w:sz w:val="24"/>
          <w:szCs w:val="24"/>
          <w:highlight w:val="none"/>
        </w:rPr>
        <w:t xml:space="preserve">                  </w:t>
      </w:r>
      <w:r>
        <w:rPr>
          <w:rFonts w:hint="eastAsia" w:ascii="宋体" w:hAnsi="宋体"/>
          <w:sz w:val="24"/>
          <w:szCs w:val="24"/>
          <w:highlight w:val="none"/>
          <w:lang w:eastAsia="zh-CN"/>
        </w:rPr>
        <w:t>供应商</w:t>
      </w:r>
      <w:r>
        <w:rPr>
          <w:rFonts w:hint="eastAsia" w:ascii="宋体" w:hAnsi="宋体"/>
          <w:sz w:val="24"/>
          <w:szCs w:val="24"/>
          <w:highlight w:val="none"/>
        </w:rPr>
        <w:t>（</w:t>
      </w:r>
      <w:r>
        <w:rPr>
          <w:rFonts w:hint="eastAsia" w:ascii="宋体" w:hAnsi="宋体"/>
          <w:sz w:val="24"/>
          <w:szCs w:val="24"/>
          <w:highlight w:val="none"/>
          <w:lang w:eastAsia="zh-CN"/>
        </w:rPr>
        <w:t>盖</w:t>
      </w:r>
      <w:r>
        <w:rPr>
          <w:rFonts w:hint="eastAsia" w:ascii="宋体" w:hAnsi="宋体"/>
          <w:sz w:val="24"/>
          <w:szCs w:val="24"/>
          <w:highlight w:val="none"/>
        </w:rPr>
        <w:t>章）：</w:t>
      </w:r>
    </w:p>
    <w:p w14:paraId="2B839736">
      <w:pPr>
        <w:snapToGrid w:val="0"/>
        <w:spacing w:before="312" w:beforeLines="100" w:after="312" w:afterLines="100" w:line="360" w:lineRule="auto"/>
        <w:jc w:val="center"/>
        <w:rPr>
          <w:rFonts w:hint="eastAsia" w:ascii="宋体" w:hAnsi="宋体"/>
          <w:sz w:val="24"/>
          <w:szCs w:val="24"/>
          <w:highlight w:val="none"/>
        </w:rPr>
      </w:pPr>
      <w:r>
        <w:rPr>
          <w:rFonts w:hint="eastAsia" w:ascii="宋体" w:hAnsi="宋体"/>
          <w:sz w:val="24"/>
          <w:szCs w:val="24"/>
          <w:highlight w:val="none"/>
        </w:rPr>
        <w:t xml:space="preserve">                                      </w:t>
      </w:r>
    </w:p>
    <w:p w14:paraId="6350CC6D">
      <w:pPr>
        <w:jc w:val="right"/>
        <w:rPr>
          <w:rFonts w:hint="eastAsia" w:ascii="宋体" w:hAnsi="宋体"/>
          <w:b/>
          <w:sz w:val="28"/>
          <w:szCs w:val="28"/>
          <w:highlight w:val="none"/>
        </w:rPr>
      </w:pPr>
      <w:r>
        <w:rPr>
          <w:rFonts w:hint="eastAsia" w:ascii="宋体" w:hAnsi="宋体"/>
          <w:sz w:val="24"/>
          <w:szCs w:val="24"/>
          <w:highlight w:val="none"/>
        </w:rPr>
        <w:t xml:space="preserve">日  期：    年  月  日 </w:t>
      </w:r>
    </w:p>
    <w:p w14:paraId="2F181256">
      <w:pPr>
        <w:rPr>
          <w:rFonts w:hint="eastAsia" w:ascii="宋体" w:hAnsi="宋体" w:eastAsia="宋体"/>
          <w:b/>
          <w:sz w:val="24"/>
          <w:szCs w:val="24"/>
          <w:highlight w:val="none"/>
          <w:lang w:val="en-US" w:eastAsia="zh-CN"/>
        </w:rPr>
      </w:pPr>
      <w:r>
        <w:rPr>
          <w:rFonts w:hint="eastAsia" w:ascii="宋体" w:hAnsi="宋体" w:eastAsia="宋体"/>
          <w:b/>
          <w:sz w:val="24"/>
          <w:szCs w:val="24"/>
          <w:highlight w:val="none"/>
          <w:lang w:val="en-US" w:eastAsia="zh-CN"/>
        </w:rPr>
        <w:br w:type="page"/>
      </w:r>
    </w:p>
    <w:p w14:paraId="76198518">
      <w:pPr>
        <w:spacing w:line="360" w:lineRule="exact"/>
        <w:ind w:firstLine="354" w:firstLineChars="147"/>
        <w:jc w:val="center"/>
        <w:rPr>
          <w:rFonts w:hint="eastAsia" w:ascii="宋体" w:hAnsi="宋体" w:eastAsia="宋体"/>
          <w:b/>
          <w:sz w:val="24"/>
          <w:szCs w:val="24"/>
          <w:highlight w:val="none"/>
          <w:lang w:val="en-US" w:eastAsia="zh-CN"/>
        </w:rPr>
      </w:pPr>
      <w:r>
        <w:rPr>
          <w:rFonts w:hint="eastAsia" w:ascii="宋体" w:hAnsi="宋体" w:eastAsia="宋体"/>
          <w:b/>
          <w:sz w:val="24"/>
          <w:szCs w:val="24"/>
          <w:highlight w:val="none"/>
          <w:lang w:val="en-US" w:eastAsia="zh-CN"/>
        </w:rPr>
        <w:t>2-2、最后承诺报价表</w:t>
      </w:r>
    </w:p>
    <w:p w14:paraId="6830584E">
      <w:pPr>
        <w:spacing w:line="360" w:lineRule="exact"/>
        <w:ind w:firstLine="354" w:firstLineChars="147"/>
        <w:jc w:val="center"/>
        <w:rPr>
          <w:rFonts w:hint="eastAsia" w:ascii="宋体" w:hAnsi="宋体" w:eastAsia="宋体"/>
          <w:b/>
          <w:sz w:val="24"/>
          <w:szCs w:val="24"/>
          <w:highlight w:val="none"/>
          <w:lang w:eastAsia="zh-CN"/>
        </w:rPr>
      </w:pPr>
      <w:r>
        <w:rPr>
          <w:rFonts w:hint="eastAsia" w:ascii="宋体" w:hAnsi="宋体" w:eastAsia="宋体"/>
          <w:b/>
          <w:sz w:val="24"/>
          <w:szCs w:val="24"/>
          <w:highlight w:val="none"/>
          <w:lang w:val="en-US" w:eastAsia="zh-CN"/>
        </w:rPr>
        <w:t>（第</w:t>
      </w:r>
      <w:r>
        <w:rPr>
          <w:rFonts w:hint="eastAsia" w:ascii="宋体" w:hAnsi="宋体" w:eastAsia="宋体"/>
          <w:b/>
          <w:sz w:val="24"/>
          <w:szCs w:val="24"/>
          <w:highlight w:val="none"/>
          <w:u w:val="single"/>
          <w:lang w:val="en-US" w:eastAsia="zh-CN"/>
        </w:rPr>
        <w:t xml:space="preserve">   </w:t>
      </w:r>
      <w:r>
        <w:rPr>
          <w:rFonts w:hint="eastAsia" w:ascii="宋体" w:hAnsi="宋体" w:eastAsia="宋体"/>
          <w:b/>
          <w:sz w:val="24"/>
          <w:szCs w:val="24"/>
          <w:highlight w:val="none"/>
          <w:lang w:val="en-US" w:eastAsia="zh-CN"/>
        </w:rPr>
        <w:t>次报价书）</w:t>
      </w:r>
    </w:p>
    <w:tbl>
      <w:tblPr>
        <w:tblStyle w:val="28"/>
        <w:tblpPr w:leftFromText="180" w:rightFromText="180" w:vertAnchor="text" w:horzAnchor="page" w:tblpX="1255" w:tblpY="327"/>
        <w:tblOverlap w:val="never"/>
        <w:tblW w:w="1007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7808"/>
      </w:tblGrid>
      <w:tr w14:paraId="2C10B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7" w:hRule="exact"/>
        </w:trPr>
        <w:tc>
          <w:tcPr>
            <w:tcW w:w="2271" w:type="dxa"/>
            <w:tcBorders>
              <w:top w:val="single" w:color="auto" w:sz="12" w:space="0"/>
              <w:bottom w:val="single" w:color="auto" w:sz="12" w:space="0"/>
              <w:right w:val="single" w:color="auto" w:sz="12" w:space="0"/>
            </w:tcBorders>
            <w:vAlign w:val="center"/>
          </w:tcPr>
          <w:p w14:paraId="1E788926">
            <w:pPr>
              <w:spacing w:line="460" w:lineRule="exact"/>
              <w:jc w:val="center"/>
              <w:rPr>
                <w:rFonts w:ascii="宋体"/>
                <w:sz w:val="24"/>
                <w:szCs w:val="24"/>
                <w:highlight w:val="none"/>
              </w:rPr>
            </w:pPr>
            <w:r>
              <w:rPr>
                <w:rFonts w:hint="eastAsia" w:ascii="宋体"/>
                <w:sz w:val="24"/>
                <w:szCs w:val="24"/>
                <w:highlight w:val="none"/>
              </w:rPr>
              <w:t>项目名称</w:t>
            </w:r>
          </w:p>
        </w:tc>
        <w:tc>
          <w:tcPr>
            <w:tcW w:w="7808" w:type="dxa"/>
            <w:tcBorders>
              <w:top w:val="single" w:color="auto" w:sz="12" w:space="0"/>
              <w:left w:val="single" w:color="auto" w:sz="12" w:space="0"/>
              <w:bottom w:val="single" w:color="auto" w:sz="12" w:space="0"/>
            </w:tcBorders>
            <w:vAlign w:val="center"/>
          </w:tcPr>
          <w:p w14:paraId="42D27F7A">
            <w:pPr>
              <w:spacing w:line="360" w:lineRule="auto"/>
              <w:jc w:val="left"/>
              <w:rPr>
                <w:sz w:val="24"/>
                <w:szCs w:val="24"/>
                <w:highlight w:val="none"/>
              </w:rPr>
            </w:pPr>
            <w:r>
              <w:rPr>
                <w:rFonts w:hint="eastAsia"/>
                <w:sz w:val="24"/>
                <w:szCs w:val="24"/>
                <w:highlight w:val="none"/>
              </w:rPr>
              <w:t xml:space="preserve">         </w:t>
            </w:r>
          </w:p>
        </w:tc>
      </w:tr>
      <w:tr w14:paraId="676EA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7" w:hRule="exact"/>
        </w:trPr>
        <w:tc>
          <w:tcPr>
            <w:tcW w:w="2271" w:type="dxa"/>
            <w:tcBorders>
              <w:top w:val="single" w:color="auto" w:sz="12" w:space="0"/>
              <w:right w:val="single" w:color="auto" w:sz="12" w:space="0"/>
            </w:tcBorders>
            <w:vAlign w:val="center"/>
          </w:tcPr>
          <w:p w14:paraId="57DC55F3">
            <w:pPr>
              <w:spacing w:line="460" w:lineRule="exact"/>
              <w:jc w:val="center"/>
              <w:rPr>
                <w:rFonts w:ascii="宋体"/>
                <w:sz w:val="24"/>
                <w:szCs w:val="24"/>
                <w:highlight w:val="none"/>
              </w:rPr>
            </w:pPr>
            <w:r>
              <w:rPr>
                <w:rFonts w:hint="eastAsia" w:ascii="宋体"/>
                <w:sz w:val="24"/>
                <w:szCs w:val="24"/>
                <w:highlight w:val="none"/>
              </w:rPr>
              <w:t>项目编号</w:t>
            </w:r>
          </w:p>
        </w:tc>
        <w:tc>
          <w:tcPr>
            <w:tcW w:w="7808" w:type="dxa"/>
            <w:tcBorders>
              <w:top w:val="single" w:color="auto" w:sz="12" w:space="0"/>
              <w:left w:val="single" w:color="auto" w:sz="12" w:space="0"/>
            </w:tcBorders>
            <w:vAlign w:val="center"/>
          </w:tcPr>
          <w:p w14:paraId="70A6AABF">
            <w:pPr>
              <w:rPr>
                <w:rFonts w:ascii="宋体"/>
                <w:sz w:val="24"/>
                <w:szCs w:val="24"/>
                <w:highlight w:val="none"/>
              </w:rPr>
            </w:pPr>
          </w:p>
        </w:tc>
      </w:tr>
      <w:tr w14:paraId="06AF1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6" w:hRule="exact"/>
        </w:trPr>
        <w:tc>
          <w:tcPr>
            <w:tcW w:w="2271" w:type="dxa"/>
            <w:tcBorders>
              <w:top w:val="single" w:color="auto" w:sz="12" w:space="0"/>
              <w:right w:val="single" w:color="auto" w:sz="12" w:space="0"/>
            </w:tcBorders>
            <w:vAlign w:val="center"/>
          </w:tcPr>
          <w:p w14:paraId="1CB960D7">
            <w:pPr>
              <w:spacing w:line="460" w:lineRule="exact"/>
              <w:jc w:val="center"/>
              <w:rPr>
                <w:rFonts w:hint="eastAsia" w:ascii="宋体" w:eastAsia="宋体"/>
                <w:sz w:val="24"/>
                <w:szCs w:val="24"/>
                <w:highlight w:val="none"/>
                <w:lang w:eastAsia="zh-CN"/>
              </w:rPr>
            </w:pPr>
            <w:r>
              <w:rPr>
                <w:rFonts w:hint="eastAsia" w:ascii="宋体"/>
                <w:sz w:val="24"/>
                <w:szCs w:val="24"/>
                <w:highlight w:val="none"/>
                <w:lang w:eastAsia="zh-CN"/>
              </w:rPr>
              <w:t>包别</w:t>
            </w:r>
          </w:p>
        </w:tc>
        <w:tc>
          <w:tcPr>
            <w:tcW w:w="7808" w:type="dxa"/>
            <w:tcBorders>
              <w:top w:val="single" w:color="auto" w:sz="12" w:space="0"/>
              <w:left w:val="single" w:color="auto" w:sz="12" w:space="0"/>
            </w:tcBorders>
            <w:vAlign w:val="center"/>
          </w:tcPr>
          <w:p w14:paraId="6E84595E">
            <w:pPr>
              <w:rPr>
                <w:rFonts w:ascii="宋体"/>
                <w:sz w:val="24"/>
                <w:szCs w:val="24"/>
                <w:highlight w:val="none"/>
              </w:rPr>
            </w:pPr>
          </w:p>
        </w:tc>
      </w:tr>
      <w:tr w14:paraId="4DB50E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6" w:hRule="exact"/>
        </w:trPr>
        <w:tc>
          <w:tcPr>
            <w:tcW w:w="2271" w:type="dxa"/>
            <w:tcBorders>
              <w:right w:val="single" w:color="auto" w:sz="12" w:space="0"/>
            </w:tcBorders>
            <w:vAlign w:val="center"/>
          </w:tcPr>
          <w:p w14:paraId="6042A27C">
            <w:pPr>
              <w:spacing w:line="460" w:lineRule="exact"/>
              <w:ind w:firstLine="120" w:firstLineChars="50"/>
              <w:jc w:val="center"/>
              <w:rPr>
                <w:rFonts w:ascii="宋体"/>
                <w:sz w:val="24"/>
                <w:szCs w:val="24"/>
                <w:highlight w:val="none"/>
              </w:rPr>
            </w:pPr>
            <w:r>
              <w:rPr>
                <w:rFonts w:hint="eastAsia" w:ascii="宋体"/>
                <w:sz w:val="24"/>
                <w:szCs w:val="24"/>
                <w:highlight w:val="none"/>
                <w:lang w:eastAsia="zh-CN"/>
              </w:rPr>
              <w:t>供应商</w:t>
            </w:r>
            <w:r>
              <w:rPr>
                <w:rFonts w:hint="eastAsia" w:ascii="宋体"/>
                <w:sz w:val="24"/>
                <w:szCs w:val="24"/>
                <w:highlight w:val="none"/>
              </w:rPr>
              <w:t>名称</w:t>
            </w:r>
          </w:p>
        </w:tc>
        <w:tc>
          <w:tcPr>
            <w:tcW w:w="7808" w:type="dxa"/>
            <w:tcBorders>
              <w:left w:val="single" w:color="auto" w:sz="12" w:space="0"/>
            </w:tcBorders>
            <w:vAlign w:val="top"/>
          </w:tcPr>
          <w:p w14:paraId="2DFBC59B">
            <w:pPr>
              <w:pStyle w:val="15"/>
              <w:spacing w:line="460" w:lineRule="exact"/>
              <w:ind w:left="86" w:leftChars="41"/>
              <w:rPr>
                <w:rFonts w:ascii="宋体"/>
                <w:sz w:val="24"/>
                <w:szCs w:val="24"/>
                <w:highlight w:val="none"/>
              </w:rPr>
            </w:pPr>
          </w:p>
        </w:tc>
      </w:tr>
      <w:tr w14:paraId="088E3E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71" w:hRule="exact"/>
        </w:trPr>
        <w:tc>
          <w:tcPr>
            <w:tcW w:w="2271" w:type="dxa"/>
            <w:tcBorders>
              <w:right w:val="single" w:color="auto" w:sz="12" w:space="0"/>
            </w:tcBorders>
            <w:vAlign w:val="center"/>
          </w:tcPr>
          <w:p w14:paraId="48C740E5">
            <w:pPr>
              <w:snapToGrid w:val="0"/>
              <w:jc w:val="center"/>
              <w:rPr>
                <w:rFonts w:hint="eastAsia" w:ascii="宋体"/>
                <w:b w:val="0"/>
                <w:bCs w:val="0"/>
                <w:sz w:val="24"/>
                <w:szCs w:val="24"/>
                <w:highlight w:val="none"/>
                <w:lang w:eastAsia="zh-CN"/>
              </w:rPr>
            </w:pPr>
            <w:r>
              <w:rPr>
                <w:rFonts w:hint="eastAsia" w:ascii="宋体" w:hAnsi="宋体" w:eastAsia="宋体" w:cs="宋体"/>
                <w:b w:val="0"/>
                <w:bCs w:val="0"/>
                <w:color w:val="auto"/>
                <w:kern w:val="2"/>
                <w:sz w:val="24"/>
                <w:szCs w:val="24"/>
                <w:highlight w:val="none"/>
              </w:rPr>
              <w:t>是否响应付款方式</w:t>
            </w:r>
          </w:p>
        </w:tc>
        <w:tc>
          <w:tcPr>
            <w:tcW w:w="7808" w:type="dxa"/>
            <w:tcBorders>
              <w:left w:val="single" w:color="auto" w:sz="12" w:space="0"/>
            </w:tcBorders>
            <w:vAlign w:val="center"/>
          </w:tcPr>
          <w:p w14:paraId="07093274">
            <w:pPr>
              <w:snapToGrid w:val="0"/>
              <w:jc w:val="both"/>
              <w:rPr>
                <w:rFonts w:ascii="宋体"/>
                <w:b w:val="0"/>
                <w:bCs w:val="0"/>
                <w:sz w:val="24"/>
                <w:szCs w:val="24"/>
                <w:highlight w:val="none"/>
              </w:rPr>
            </w:pPr>
            <w:r>
              <w:rPr>
                <w:rFonts w:hint="eastAsia" w:ascii="宋体" w:hAnsi="宋体" w:eastAsia="宋体" w:cs="宋体"/>
                <w:b w:val="0"/>
                <w:bCs w:val="0"/>
                <w:color w:val="auto"/>
                <w:kern w:val="2"/>
                <w:sz w:val="24"/>
                <w:szCs w:val="24"/>
                <w:highlight w:val="none"/>
              </w:rPr>
              <w:t>是□    否□   （划√）</w:t>
            </w:r>
          </w:p>
        </w:tc>
      </w:tr>
      <w:tr w14:paraId="71C831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6" w:hRule="exact"/>
        </w:trPr>
        <w:tc>
          <w:tcPr>
            <w:tcW w:w="2271" w:type="dxa"/>
            <w:tcBorders>
              <w:right w:val="single" w:color="auto" w:sz="12" w:space="0"/>
            </w:tcBorders>
            <w:vAlign w:val="center"/>
          </w:tcPr>
          <w:p w14:paraId="0534A761">
            <w:pPr>
              <w:spacing w:line="460" w:lineRule="exact"/>
              <w:jc w:val="center"/>
              <w:rPr>
                <w:rFonts w:ascii="宋体"/>
                <w:sz w:val="24"/>
                <w:szCs w:val="24"/>
                <w:highlight w:val="none"/>
              </w:rPr>
            </w:pPr>
            <w:r>
              <w:rPr>
                <w:rFonts w:hint="eastAsia" w:ascii="宋体"/>
                <w:sz w:val="24"/>
                <w:szCs w:val="24"/>
                <w:highlight w:val="none"/>
                <w:lang w:eastAsia="zh-CN"/>
              </w:rPr>
              <w:t>服务期限</w:t>
            </w:r>
          </w:p>
        </w:tc>
        <w:tc>
          <w:tcPr>
            <w:tcW w:w="7808" w:type="dxa"/>
            <w:tcBorders>
              <w:left w:val="single" w:color="auto" w:sz="12" w:space="0"/>
            </w:tcBorders>
            <w:vAlign w:val="top"/>
          </w:tcPr>
          <w:p w14:paraId="729C8904">
            <w:pPr>
              <w:pStyle w:val="15"/>
              <w:spacing w:line="460" w:lineRule="exact"/>
              <w:ind w:left="86" w:leftChars="41"/>
              <w:rPr>
                <w:rFonts w:ascii="宋体"/>
                <w:sz w:val="24"/>
                <w:szCs w:val="24"/>
                <w:highlight w:val="none"/>
              </w:rPr>
            </w:pPr>
          </w:p>
        </w:tc>
      </w:tr>
      <w:tr w14:paraId="2EC49A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73" w:hRule="exact"/>
        </w:trPr>
        <w:tc>
          <w:tcPr>
            <w:tcW w:w="2271" w:type="dxa"/>
            <w:tcBorders>
              <w:right w:val="single" w:color="auto" w:sz="12" w:space="0"/>
            </w:tcBorders>
            <w:vAlign w:val="center"/>
          </w:tcPr>
          <w:p w14:paraId="6BF6E7FD">
            <w:pPr>
              <w:spacing w:line="460" w:lineRule="exact"/>
              <w:jc w:val="center"/>
              <w:rPr>
                <w:rFonts w:hint="eastAsia" w:ascii="宋体"/>
                <w:sz w:val="24"/>
                <w:szCs w:val="24"/>
                <w:highlight w:val="none"/>
                <w:lang w:eastAsia="zh-CN"/>
              </w:rPr>
            </w:pPr>
            <w:r>
              <w:rPr>
                <w:rFonts w:hint="eastAsia" w:ascii="宋体"/>
                <w:sz w:val="24"/>
                <w:szCs w:val="24"/>
                <w:highlight w:val="none"/>
                <w:lang w:eastAsia="zh-CN"/>
              </w:rPr>
              <w:t>免费质保期</w:t>
            </w:r>
          </w:p>
        </w:tc>
        <w:tc>
          <w:tcPr>
            <w:tcW w:w="7808" w:type="dxa"/>
            <w:tcBorders>
              <w:left w:val="single" w:color="auto" w:sz="12" w:space="0"/>
            </w:tcBorders>
            <w:vAlign w:val="top"/>
          </w:tcPr>
          <w:p w14:paraId="46BB0237">
            <w:pPr>
              <w:pStyle w:val="15"/>
              <w:spacing w:line="460" w:lineRule="exact"/>
              <w:ind w:left="86" w:leftChars="41"/>
              <w:rPr>
                <w:rFonts w:ascii="宋体"/>
                <w:sz w:val="24"/>
                <w:szCs w:val="24"/>
                <w:highlight w:val="none"/>
              </w:rPr>
            </w:pPr>
          </w:p>
        </w:tc>
      </w:tr>
      <w:tr w14:paraId="3A0BE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08" w:hRule="exact"/>
        </w:trPr>
        <w:tc>
          <w:tcPr>
            <w:tcW w:w="2271" w:type="dxa"/>
            <w:tcBorders>
              <w:right w:val="single" w:color="auto" w:sz="12" w:space="0"/>
            </w:tcBorders>
            <w:vAlign w:val="center"/>
          </w:tcPr>
          <w:p w14:paraId="4E30232A">
            <w:pPr>
              <w:spacing w:line="360" w:lineRule="auto"/>
              <w:jc w:val="center"/>
              <w:rPr>
                <w:rFonts w:hint="eastAsia" w:ascii="宋体"/>
                <w:sz w:val="24"/>
                <w:szCs w:val="24"/>
                <w:highlight w:val="none"/>
              </w:rPr>
            </w:pPr>
            <w:r>
              <w:rPr>
                <w:rFonts w:hint="eastAsia" w:ascii="宋体"/>
                <w:sz w:val="24"/>
                <w:szCs w:val="24"/>
                <w:highlight w:val="none"/>
              </w:rPr>
              <w:t>投标报价</w:t>
            </w:r>
          </w:p>
          <w:p w14:paraId="010B5FE9">
            <w:pPr>
              <w:spacing w:line="360" w:lineRule="auto"/>
              <w:jc w:val="center"/>
              <w:rPr>
                <w:rFonts w:ascii="宋体"/>
                <w:sz w:val="24"/>
                <w:szCs w:val="24"/>
                <w:highlight w:val="none"/>
              </w:rPr>
            </w:pPr>
            <w:r>
              <w:rPr>
                <w:rFonts w:hint="eastAsia" w:ascii="宋体"/>
                <w:sz w:val="24"/>
                <w:szCs w:val="24"/>
                <w:highlight w:val="none"/>
                <w:lang w:eastAsia="zh-CN"/>
              </w:rPr>
              <w:t>（单位</w:t>
            </w:r>
            <w:r>
              <w:rPr>
                <w:rFonts w:hint="eastAsia" w:ascii="宋体"/>
                <w:sz w:val="24"/>
                <w:szCs w:val="24"/>
                <w:highlight w:val="none"/>
                <w:lang w:val="en-US" w:eastAsia="zh-CN"/>
              </w:rPr>
              <w:t>/元/年</w:t>
            </w:r>
            <w:r>
              <w:rPr>
                <w:rFonts w:hint="eastAsia" w:ascii="宋体"/>
                <w:sz w:val="24"/>
                <w:szCs w:val="24"/>
                <w:highlight w:val="none"/>
                <w:lang w:eastAsia="zh-CN"/>
              </w:rPr>
              <w:t>）</w:t>
            </w:r>
            <w:r>
              <w:rPr>
                <w:rFonts w:hint="eastAsia" w:ascii="宋体"/>
                <w:sz w:val="24"/>
                <w:szCs w:val="24"/>
                <w:highlight w:val="none"/>
                <w:lang w:val="en-US" w:eastAsia="zh-CN"/>
              </w:rPr>
              <w:t xml:space="preserve">      </w:t>
            </w:r>
          </w:p>
        </w:tc>
        <w:tc>
          <w:tcPr>
            <w:tcW w:w="7808" w:type="dxa"/>
            <w:tcBorders>
              <w:left w:val="single" w:color="auto" w:sz="12" w:space="0"/>
            </w:tcBorders>
            <w:vAlign w:val="center"/>
          </w:tcPr>
          <w:p w14:paraId="2147173A">
            <w:pPr>
              <w:pStyle w:val="27"/>
              <w:spacing w:line="360" w:lineRule="auto"/>
              <w:ind w:left="0" w:leftChars="0" w:firstLine="0" w:firstLineChars="0"/>
              <w:rPr>
                <w:rFonts w:hint="default"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小写：_____________</w:t>
            </w:r>
          </w:p>
          <w:p w14:paraId="74859D8C">
            <w:pPr>
              <w:pStyle w:val="27"/>
              <w:spacing w:line="360" w:lineRule="auto"/>
              <w:ind w:left="0" w:leftChars="0" w:firstLine="0" w:firstLineChars="0"/>
              <w:rPr>
                <w:rFonts w:hint="default"/>
                <w:highlight w:val="none"/>
                <w:lang w:val="en-US"/>
              </w:rPr>
            </w:pPr>
            <w:r>
              <w:rPr>
                <w:rFonts w:hint="eastAsia" w:ascii="宋体" w:hAnsi="Times New Roman" w:eastAsia="宋体" w:cs="Times New Roman"/>
                <w:kern w:val="2"/>
                <w:sz w:val="24"/>
                <w:szCs w:val="24"/>
                <w:highlight w:val="none"/>
                <w:lang w:val="en-US" w:eastAsia="zh-CN" w:bidi="ar-SA"/>
              </w:rPr>
              <w:t>大写：</w:t>
            </w:r>
            <w:r>
              <w:rPr>
                <w:rFonts w:hint="eastAsia" w:ascii="宋体" w:eastAsia="宋体" w:cs="Times New Roman"/>
                <w:kern w:val="2"/>
                <w:sz w:val="24"/>
                <w:szCs w:val="24"/>
                <w:highlight w:val="none"/>
                <w:u w:val="single"/>
                <w:lang w:val="en-US" w:eastAsia="zh-CN" w:bidi="ar-SA"/>
              </w:rPr>
              <w:t xml:space="preserve">             </w:t>
            </w:r>
            <w:r>
              <w:rPr>
                <w:rFonts w:hint="eastAsia" w:ascii="宋体" w:eastAsia="宋体" w:cs="Times New Roman"/>
                <w:kern w:val="2"/>
                <w:sz w:val="24"/>
                <w:szCs w:val="24"/>
                <w:highlight w:val="none"/>
                <w:lang w:val="en-US" w:eastAsia="zh-CN" w:bidi="ar-SA"/>
              </w:rPr>
              <w:t xml:space="preserve"> </w:t>
            </w:r>
          </w:p>
        </w:tc>
      </w:tr>
      <w:tr w14:paraId="5CC325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1" w:hRule="exact"/>
        </w:trPr>
        <w:tc>
          <w:tcPr>
            <w:tcW w:w="2271" w:type="dxa"/>
            <w:tcBorders>
              <w:right w:val="single" w:color="auto" w:sz="12" w:space="0"/>
            </w:tcBorders>
            <w:vAlign w:val="center"/>
          </w:tcPr>
          <w:p w14:paraId="2C49C292">
            <w:pPr>
              <w:spacing w:line="360" w:lineRule="auto"/>
              <w:jc w:val="center"/>
              <w:rPr>
                <w:rFonts w:hint="eastAsia" w:ascii="宋体"/>
                <w:sz w:val="24"/>
                <w:szCs w:val="24"/>
                <w:highlight w:val="none"/>
                <w:lang w:eastAsia="zh-CN"/>
              </w:rPr>
            </w:pPr>
            <w:r>
              <w:rPr>
                <w:rFonts w:hint="eastAsia" w:ascii="宋体"/>
                <w:sz w:val="24"/>
                <w:szCs w:val="24"/>
                <w:highlight w:val="none"/>
                <w:lang w:eastAsia="zh-CN"/>
              </w:rPr>
              <w:t>其他说明</w:t>
            </w:r>
          </w:p>
        </w:tc>
        <w:tc>
          <w:tcPr>
            <w:tcW w:w="7808" w:type="dxa"/>
            <w:tcBorders>
              <w:left w:val="single" w:color="auto" w:sz="12" w:space="0"/>
            </w:tcBorders>
            <w:vAlign w:val="center"/>
          </w:tcPr>
          <w:p w14:paraId="1CF75050">
            <w:pPr>
              <w:pStyle w:val="27"/>
              <w:spacing w:line="360" w:lineRule="auto"/>
              <w:ind w:left="0" w:leftChars="0" w:firstLine="0" w:firstLineChars="0"/>
              <w:rPr>
                <w:rFonts w:hint="eastAsia" w:ascii="宋体" w:hAnsi="Times New Roman" w:eastAsia="宋体" w:cs="Times New Roman"/>
                <w:kern w:val="2"/>
                <w:sz w:val="24"/>
                <w:szCs w:val="24"/>
                <w:highlight w:val="none"/>
                <w:lang w:val="en-US" w:eastAsia="zh-CN" w:bidi="ar-SA"/>
              </w:rPr>
            </w:pPr>
          </w:p>
        </w:tc>
      </w:tr>
    </w:tbl>
    <w:p w14:paraId="009BBE77">
      <w:pPr>
        <w:spacing w:line="360" w:lineRule="exact"/>
        <w:ind w:firstLine="354" w:firstLineChars="147"/>
        <w:rPr>
          <w:rFonts w:hint="eastAsia" w:ascii="宋体" w:hAnsi="宋体" w:eastAsia="宋体"/>
          <w:b/>
          <w:sz w:val="24"/>
          <w:szCs w:val="24"/>
          <w:highlight w:val="none"/>
          <w:lang w:eastAsia="zh-CN"/>
        </w:rPr>
      </w:pPr>
    </w:p>
    <w:p w14:paraId="154F1BA5">
      <w:pPr>
        <w:snapToGrid w:val="0"/>
        <w:spacing w:before="50" w:after="50" w:line="360" w:lineRule="auto"/>
        <w:jc w:val="left"/>
        <w:rPr>
          <w:rFonts w:hint="eastAsia" w:hAnsi="宋体"/>
          <w:b/>
          <w:bCs/>
          <w:color w:val="FF0000"/>
          <w:sz w:val="21"/>
          <w:szCs w:val="21"/>
          <w:highlight w:val="none"/>
          <w:lang w:val="en-US" w:eastAsia="zh-CN"/>
        </w:rPr>
      </w:pPr>
      <w:r>
        <w:rPr>
          <w:rFonts w:hint="eastAsia" w:hAnsi="宋体" w:eastAsia="宋体"/>
          <w:b/>
          <w:bCs/>
          <w:color w:val="FF0000"/>
          <w:sz w:val="21"/>
          <w:szCs w:val="21"/>
          <w:highlight w:val="none"/>
          <w:lang w:val="en-US" w:eastAsia="zh-CN"/>
        </w:rPr>
        <w:t>注:本页《报价表》由供应商在接到报价通知后依据磋商情况填写,并在规定时间内递交。</w:t>
      </w:r>
    </w:p>
    <w:p w14:paraId="0C17E6B5">
      <w:pPr>
        <w:pStyle w:val="20"/>
      </w:pPr>
    </w:p>
    <w:p w14:paraId="0A69815F"/>
    <w:bookmarkEnd w:id="125"/>
    <w:p w14:paraId="04C93116">
      <w:pPr>
        <w:rPr>
          <w:rFonts w:hint="eastAsia" w:ascii="宋体" w:hAnsi="宋体"/>
          <w:sz w:val="24"/>
          <w:szCs w:val="24"/>
          <w:highlight w:val="none"/>
        </w:rPr>
      </w:pPr>
      <w:bookmarkStart w:id="129" w:name="_Toc29991"/>
      <w:r>
        <w:rPr>
          <w:rFonts w:hint="eastAsia" w:ascii="宋体" w:hAnsi="宋体"/>
          <w:sz w:val="24"/>
          <w:szCs w:val="24"/>
          <w:highlight w:val="none"/>
          <w:lang w:eastAsia="zh-CN"/>
        </w:rPr>
        <w:t>法定代表人或授权代理人（签字或盖章）：</w:t>
      </w:r>
      <w:r>
        <w:rPr>
          <w:rFonts w:hint="eastAsia" w:ascii="宋体" w:hAnsi="宋体"/>
          <w:sz w:val="24"/>
          <w:szCs w:val="24"/>
          <w:highlight w:val="none"/>
        </w:rPr>
        <w:t xml:space="preserve">                   </w:t>
      </w:r>
      <w:r>
        <w:rPr>
          <w:rFonts w:hint="eastAsia" w:ascii="宋体" w:hAnsi="宋体"/>
          <w:sz w:val="24"/>
          <w:szCs w:val="24"/>
          <w:highlight w:val="none"/>
          <w:lang w:eastAsia="zh-CN"/>
        </w:rPr>
        <w:t>供应商</w:t>
      </w:r>
      <w:r>
        <w:rPr>
          <w:rFonts w:hint="eastAsia" w:ascii="宋体" w:hAnsi="宋体"/>
          <w:sz w:val="24"/>
          <w:szCs w:val="24"/>
          <w:highlight w:val="none"/>
        </w:rPr>
        <w:t>（</w:t>
      </w:r>
      <w:r>
        <w:rPr>
          <w:rFonts w:hint="eastAsia" w:ascii="宋体" w:hAnsi="宋体"/>
          <w:sz w:val="24"/>
          <w:szCs w:val="24"/>
          <w:highlight w:val="none"/>
          <w:lang w:eastAsia="zh-CN"/>
        </w:rPr>
        <w:t>盖</w:t>
      </w:r>
      <w:r>
        <w:rPr>
          <w:rFonts w:hint="eastAsia" w:ascii="宋体" w:hAnsi="宋体"/>
          <w:sz w:val="24"/>
          <w:szCs w:val="24"/>
          <w:highlight w:val="none"/>
        </w:rPr>
        <w:t>章）：</w:t>
      </w:r>
    </w:p>
    <w:p w14:paraId="1A6367EA">
      <w:pPr>
        <w:rPr>
          <w:rFonts w:hint="eastAsia" w:ascii="宋体" w:hAnsi="宋体"/>
          <w:sz w:val="24"/>
          <w:szCs w:val="24"/>
          <w:highlight w:val="none"/>
        </w:rPr>
      </w:pPr>
    </w:p>
    <w:p w14:paraId="066EC3F3">
      <w:pPr>
        <w:rPr>
          <w:rFonts w:hint="eastAsia" w:ascii="宋体" w:hAnsi="宋体"/>
          <w:sz w:val="24"/>
          <w:szCs w:val="24"/>
          <w:highlight w:val="none"/>
        </w:rPr>
      </w:pPr>
      <w:r>
        <w:rPr>
          <w:rFonts w:hint="eastAsia" w:ascii="宋体" w:hAnsi="宋体"/>
          <w:sz w:val="24"/>
          <w:szCs w:val="24"/>
          <w:highlight w:val="none"/>
        </w:rPr>
        <w:t xml:space="preserve">                                      </w:t>
      </w:r>
    </w:p>
    <w:p w14:paraId="0B15D09B">
      <w:pPr>
        <w:jc w:val="right"/>
        <w:rPr>
          <w:rFonts w:hint="eastAsia" w:asciiTheme="minorEastAsia" w:hAnsiTheme="minorEastAsia" w:eastAsiaTheme="minorEastAsia" w:cstheme="minorEastAsia"/>
          <w:b/>
          <w:sz w:val="24"/>
          <w:szCs w:val="24"/>
          <w:highlight w:val="none"/>
        </w:rPr>
      </w:pPr>
      <w:r>
        <w:rPr>
          <w:rFonts w:hint="eastAsia" w:ascii="宋体" w:hAnsi="宋体"/>
          <w:sz w:val="24"/>
          <w:szCs w:val="24"/>
          <w:highlight w:val="none"/>
        </w:rPr>
        <w:t xml:space="preserve">日  期：    年  月  日 </w:t>
      </w:r>
    </w:p>
    <w:p w14:paraId="67F04CAD">
      <w:pPr>
        <w:pStyle w:val="2"/>
        <w:jc w:val="both"/>
        <w:rPr>
          <w:rFonts w:ascii="宋体" w:hAnsi="宋体"/>
          <w:b/>
          <w:bCs/>
          <w:sz w:val="24"/>
          <w:szCs w:val="24"/>
          <w:highlight w:val="none"/>
        </w:rPr>
      </w:pPr>
      <w:r>
        <w:rPr>
          <w:rFonts w:hint="eastAsia" w:asciiTheme="minorEastAsia" w:hAnsiTheme="minorEastAsia" w:eastAsiaTheme="minorEastAsia" w:cstheme="minorEastAsia"/>
          <w:b/>
          <w:sz w:val="28"/>
          <w:szCs w:val="28"/>
          <w:highlight w:val="none"/>
          <w:lang w:eastAsia="zh-CN"/>
        </w:rPr>
        <w:br w:type="page"/>
      </w:r>
      <w:bookmarkStart w:id="130" w:name="_Toc27294"/>
      <w:r>
        <w:rPr>
          <w:rFonts w:hint="eastAsia" w:asciiTheme="minorEastAsia" w:hAnsiTheme="minorEastAsia" w:eastAsiaTheme="minorEastAsia" w:cstheme="minorEastAsia"/>
          <w:b/>
          <w:sz w:val="28"/>
          <w:szCs w:val="28"/>
          <w:highlight w:val="none"/>
          <w:lang w:val="en-US" w:eastAsia="zh-CN"/>
        </w:rPr>
        <w:t>2-3、</w:t>
      </w:r>
      <w:r>
        <w:rPr>
          <w:rFonts w:hint="eastAsia" w:ascii="宋体" w:hAnsi="宋体"/>
          <w:b/>
          <w:bCs/>
          <w:sz w:val="24"/>
          <w:szCs w:val="24"/>
          <w:highlight w:val="none"/>
          <w:lang w:eastAsia="zh-CN"/>
        </w:rPr>
        <w:t>分项参数规格明细表</w:t>
      </w:r>
      <w:r>
        <w:rPr>
          <w:rFonts w:hint="eastAsia" w:ascii="宋体" w:hAnsi="宋体"/>
          <w:b/>
          <w:bCs/>
          <w:sz w:val="24"/>
          <w:szCs w:val="24"/>
          <w:highlight w:val="none"/>
        </w:rPr>
        <w:t>（格式）</w:t>
      </w:r>
      <w:bookmarkEnd w:id="130"/>
    </w:p>
    <w:tbl>
      <w:tblPr>
        <w:tblStyle w:val="29"/>
        <w:tblpPr w:leftFromText="180" w:rightFromText="180" w:vertAnchor="text" w:horzAnchor="page" w:tblpX="1076" w:tblpY="199"/>
        <w:tblOverlap w:val="never"/>
        <w:tblW w:w="10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578"/>
        <w:gridCol w:w="1316"/>
        <w:gridCol w:w="1411"/>
        <w:gridCol w:w="1240"/>
        <w:gridCol w:w="1310"/>
        <w:gridCol w:w="1484"/>
        <w:gridCol w:w="1484"/>
      </w:tblGrid>
      <w:tr w14:paraId="3C13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794" w:type="dxa"/>
            <w:vAlign w:val="center"/>
          </w:tcPr>
          <w:p w14:paraId="5F8E4F0C">
            <w:pPr>
              <w:snapToGrid w:val="0"/>
              <w:spacing w:line="460" w:lineRule="exact"/>
              <w:jc w:val="center"/>
              <w:rPr>
                <w:rFonts w:ascii="宋体" w:hAnsi="宋体"/>
                <w:sz w:val="24"/>
                <w:szCs w:val="24"/>
                <w:highlight w:val="none"/>
              </w:rPr>
            </w:pPr>
            <w:r>
              <w:rPr>
                <w:rFonts w:hint="eastAsia" w:ascii="宋体" w:hAnsi="宋体"/>
                <w:sz w:val="24"/>
                <w:szCs w:val="24"/>
                <w:highlight w:val="none"/>
              </w:rPr>
              <w:t>序号</w:t>
            </w:r>
          </w:p>
        </w:tc>
        <w:tc>
          <w:tcPr>
            <w:tcW w:w="1578" w:type="dxa"/>
            <w:vAlign w:val="center"/>
          </w:tcPr>
          <w:p w14:paraId="3EADDD08">
            <w:pPr>
              <w:snapToGrid w:val="0"/>
              <w:spacing w:line="460" w:lineRule="exact"/>
              <w:jc w:val="center"/>
              <w:rPr>
                <w:rFonts w:hint="eastAsia" w:ascii="宋体" w:hAnsi="宋体" w:eastAsiaTheme="minorEastAsia"/>
                <w:sz w:val="24"/>
                <w:szCs w:val="24"/>
                <w:highlight w:val="none"/>
                <w:lang w:eastAsia="zh-CN"/>
              </w:rPr>
            </w:pPr>
            <w:r>
              <w:rPr>
                <w:rFonts w:hint="eastAsia" w:ascii="宋体" w:hAnsi="宋体"/>
                <w:sz w:val="24"/>
                <w:szCs w:val="24"/>
                <w:highlight w:val="none"/>
                <w:lang w:eastAsia="zh-CN"/>
              </w:rPr>
              <w:t>名称</w:t>
            </w:r>
          </w:p>
        </w:tc>
        <w:tc>
          <w:tcPr>
            <w:tcW w:w="1316" w:type="dxa"/>
            <w:vAlign w:val="center"/>
          </w:tcPr>
          <w:p w14:paraId="57474089">
            <w:pPr>
              <w:snapToGrid w:val="0"/>
              <w:spacing w:line="460" w:lineRule="exact"/>
              <w:jc w:val="center"/>
              <w:rPr>
                <w:rFonts w:hint="default" w:ascii="宋体" w:hAnsi="宋体" w:eastAsiaTheme="minorEastAsia"/>
                <w:sz w:val="24"/>
                <w:szCs w:val="24"/>
                <w:highlight w:val="none"/>
                <w:lang w:val="en-US" w:eastAsia="zh-CN"/>
              </w:rPr>
            </w:pPr>
            <w:r>
              <w:rPr>
                <w:rFonts w:hint="eastAsia" w:ascii="宋体" w:hAnsi="宋体"/>
                <w:sz w:val="24"/>
                <w:szCs w:val="24"/>
                <w:highlight w:val="none"/>
                <w:lang w:eastAsia="zh-CN"/>
              </w:rPr>
              <w:t>品牌</w:t>
            </w:r>
            <w:r>
              <w:rPr>
                <w:rFonts w:hint="eastAsia" w:ascii="宋体" w:hAnsi="宋体"/>
                <w:sz w:val="24"/>
                <w:szCs w:val="24"/>
                <w:highlight w:val="none"/>
                <w:lang w:val="en-US" w:eastAsia="zh-CN"/>
              </w:rPr>
              <w:t>/生产厂家</w:t>
            </w:r>
          </w:p>
        </w:tc>
        <w:tc>
          <w:tcPr>
            <w:tcW w:w="1411" w:type="dxa"/>
            <w:vAlign w:val="center"/>
          </w:tcPr>
          <w:p w14:paraId="68CE847B">
            <w:pPr>
              <w:snapToGrid w:val="0"/>
              <w:spacing w:line="460" w:lineRule="exact"/>
              <w:jc w:val="center"/>
              <w:rPr>
                <w:rFonts w:hint="eastAsia" w:ascii="宋体" w:hAnsi="宋体" w:cs="Times New Roman" w:eastAsiaTheme="minorEastAsia"/>
                <w:kern w:val="2"/>
                <w:sz w:val="24"/>
                <w:szCs w:val="24"/>
                <w:highlight w:val="none"/>
                <w:lang w:val="en-US" w:eastAsia="zh-CN" w:bidi="ar-SA"/>
              </w:rPr>
            </w:pPr>
            <w:r>
              <w:rPr>
                <w:rFonts w:hint="eastAsia" w:ascii="宋体" w:hAnsi="宋体" w:eastAsiaTheme="minorEastAsia"/>
                <w:sz w:val="24"/>
                <w:szCs w:val="24"/>
                <w:highlight w:val="none"/>
                <w:lang w:eastAsia="zh-CN"/>
              </w:rPr>
              <w:t>主要技术参数、规格</w:t>
            </w:r>
          </w:p>
        </w:tc>
        <w:tc>
          <w:tcPr>
            <w:tcW w:w="1240" w:type="dxa"/>
            <w:vAlign w:val="center"/>
          </w:tcPr>
          <w:p w14:paraId="37CDC34D">
            <w:pPr>
              <w:snapToGrid w:val="0"/>
              <w:spacing w:line="460" w:lineRule="exact"/>
              <w:jc w:val="center"/>
              <w:rPr>
                <w:rFonts w:hint="eastAsia" w:ascii="宋体" w:hAnsi="宋体" w:eastAsiaTheme="minorEastAsia"/>
                <w:sz w:val="24"/>
                <w:szCs w:val="24"/>
                <w:highlight w:val="none"/>
                <w:lang w:eastAsia="zh-CN"/>
              </w:rPr>
            </w:pPr>
            <w:r>
              <w:rPr>
                <w:rFonts w:hint="eastAsia" w:ascii="宋体" w:hAnsi="宋体" w:eastAsiaTheme="minorEastAsia"/>
                <w:sz w:val="24"/>
                <w:szCs w:val="24"/>
                <w:highlight w:val="none"/>
                <w:lang w:eastAsia="zh-CN"/>
              </w:rPr>
              <w:t>数量</w:t>
            </w:r>
          </w:p>
        </w:tc>
        <w:tc>
          <w:tcPr>
            <w:tcW w:w="1310" w:type="dxa"/>
            <w:vAlign w:val="center"/>
          </w:tcPr>
          <w:p w14:paraId="5661FFE9">
            <w:pPr>
              <w:snapToGrid w:val="0"/>
              <w:spacing w:line="460" w:lineRule="exact"/>
              <w:jc w:val="center"/>
              <w:rPr>
                <w:rFonts w:hint="eastAsia" w:ascii="宋体" w:hAnsi="宋体" w:eastAsiaTheme="minorEastAsia"/>
                <w:sz w:val="24"/>
                <w:szCs w:val="24"/>
                <w:highlight w:val="none"/>
                <w:lang w:eastAsia="zh-CN"/>
              </w:rPr>
            </w:pPr>
            <w:r>
              <w:rPr>
                <w:rFonts w:hint="eastAsia" w:ascii="宋体" w:hAnsi="宋体" w:eastAsiaTheme="minorEastAsia"/>
                <w:sz w:val="24"/>
                <w:szCs w:val="24"/>
                <w:highlight w:val="none"/>
                <w:lang w:eastAsia="zh-CN"/>
              </w:rPr>
              <w:t>单位</w:t>
            </w:r>
          </w:p>
        </w:tc>
        <w:tc>
          <w:tcPr>
            <w:tcW w:w="1484" w:type="dxa"/>
            <w:vAlign w:val="center"/>
          </w:tcPr>
          <w:p w14:paraId="29BFEDFB">
            <w:pPr>
              <w:snapToGrid w:val="0"/>
              <w:spacing w:line="460" w:lineRule="exact"/>
              <w:jc w:val="center"/>
              <w:rPr>
                <w:rFonts w:hint="eastAsia" w:ascii="宋体" w:hAnsi="宋体" w:eastAsia="宋体"/>
                <w:sz w:val="24"/>
                <w:szCs w:val="24"/>
                <w:highlight w:val="none"/>
                <w:lang w:eastAsia="zh-CN"/>
              </w:rPr>
            </w:pPr>
            <w:r>
              <w:rPr>
                <w:rFonts w:hint="eastAsia" w:ascii="宋体" w:hAnsi="宋体"/>
                <w:sz w:val="24"/>
                <w:szCs w:val="24"/>
                <w:highlight w:val="none"/>
                <w:lang w:eastAsia="zh-CN"/>
              </w:rPr>
              <w:t>单价</w:t>
            </w:r>
          </w:p>
        </w:tc>
        <w:tc>
          <w:tcPr>
            <w:tcW w:w="1484" w:type="dxa"/>
            <w:vAlign w:val="center"/>
          </w:tcPr>
          <w:p w14:paraId="7AE2A17E">
            <w:pPr>
              <w:snapToGrid w:val="0"/>
              <w:spacing w:line="460" w:lineRule="exact"/>
              <w:jc w:val="center"/>
              <w:rPr>
                <w:rFonts w:ascii="宋体" w:hAnsi="宋体"/>
                <w:sz w:val="24"/>
                <w:szCs w:val="24"/>
                <w:highlight w:val="none"/>
              </w:rPr>
            </w:pPr>
            <w:r>
              <w:rPr>
                <w:rFonts w:hint="eastAsia" w:ascii="宋体" w:hAnsi="宋体"/>
                <w:sz w:val="24"/>
                <w:szCs w:val="24"/>
                <w:highlight w:val="none"/>
              </w:rPr>
              <w:t>备注</w:t>
            </w:r>
          </w:p>
        </w:tc>
      </w:tr>
      <w:tr w14:paraId="3621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794" w:type="dxa"/>
            <w:vAlign w:val="center"/>
          </w:tcPr>
          <w:p w14:paraId="7BE448A7">
            <w:pPr>
              <w:snapToGrid w:val="0"/>
              <w:spacing w:line="460" w:lineRule="exact"/>
              <w:jc w:val="center"/>
              <w:rPr>
                <w:rFonts w:ascii="宋体" w:hAnsi="宋体"/>
                <w:sz w:val="22"/>
                <w:szCs w:val="22"/>
                <w:highlight w:val="none"/>
              </w:rPr>
            </w:pPr>
          </w:p>
        </w:tc>
        <w:tc>
          <w:tcPr>
            <w:tcW w:w="1578" w:type="dxa"/>
            <w:vAlign w:val="center"/>
          </w:tcPr>
          <w:p w14:paraId="24A93674">
            <w:pPr>
              <w:snapToGrid w:val="0"/>
              <w:spacing w:line="460" w:lineRule="exact"/>
              <w:jc w:val="center"/>
              <w:rPr>
                <w:rFonts w:ascii="宋体" w:hAnsi="宋体"/>
                <w:sz w:val="22"/>
                <w:szCs w:val="22"/>
                <w:highlight w:val="none"/>
              </w:rPr>
            </w:pPr>
          </w:p>
        </w:tc>
        <w:tc>
          <w:tcPr>
            <w:tcW w:w="1316" w:type="dxa"/>
            <w:vAlign w:val="center"/>
          </w:tcPr>
          <w:p w14:paraId="4967229E">
            <w:pPr>
              <w:snapToGrid w:val="0"/>
              <w:spacing w:line="460" w:lineRule="exact"/>
              <w:jc w:val="center"/>
              <w:rPr>
                <w:rFonts w:ascii="宋体" w:hAnsi="宋体"/>
                <w:sz w:val="22"/>
                <w:szCs w:val="22"/>
                <w:highlight w:val="none"/>
              </w:rPr>
            </w:pPr>
          </w:p>
        </w:tc>
        <w:tc>
          <w:tcPr>
            <w:tcW w:w="1411" w:type="dxa"/>
            <w:vAlign w:val="center"/>
          </w:tcPr>
          <w:p w14:paraId="300C5DCE">
            <w:pPr>
              <w:snapToGrid w:val="0"/>
              <w:spacing w:line="460" w:lineRule="exact"/>
              <w:jc w:val="center"/>
              <w:rPr>
                <w:rFonts w:ascii="宋体" w:hAnsi="宋体"/>
                <w:sz w:val="22"/>
                <w:szCs w:val="22"/>
                <w:highlight w:val="none"/>
              </w:rPr>
            </w:pPr>
          </w:p>
        </w:tc>
        <w:tc>
          <w:tcPr>
            <w:tcW w:w="1240" w:type="dxa"/>
            <w:vAlign w:val="center"/>
          </w:tcPr>
          <w:p w14:paraId="3759726B">
            <w:pPr>
              <w:snapToGrid w:val="0"/>
              <w:spacing w:line="460" w:lineRule="exact"/>
              <w:jc w:val="center"/>
              <w:rPr>
                <w:rFonts w:ascii="宋体" w:hAnsi="宋体"/>
                <w:sz w:val="22"/>
                <w:szCs w:val="22"/>
                <w:highlight w:val="none"/>
              </w:rPr>
            </w:pPr>
          </w:p>
        </w:tc>
        <w:tc>
          <w:tcPr>
            <w:tcW w:w="1310" w:type="dxa"/>
            <w:vAlign w:val="center"/>
          </w:tcPr>
          <w:p w14:paraId="76625B14">
            <w:pPr>
              <w:snapToGrid w:val="0"/>
              <w:spacing w:line="460" w:lineRule="exact"/>
              <w:jc w:val="center"/>
              <w:rPr>
                <w:rFonts w:ascii="宋体" w:hAnsi="宋体"/>
                <w:sz w:val="22"/>
                <w:szCs w:val="22"/>
                <w:highlight w:val="none"/>
              </w:rPr>
            </w:pPr>
          </w:p>
        </w:tc>
        <w:tc>
          <w:tcPr>
            <w:tcW w:w="1484" w:type="dxa"/>
            <w:vAlign w:val="center"/>
          </w:tcPr>
          <w:p w14:paraId="75B4CF9B">
            <w:pPr>
              <w:snapToGrid w:val="0"/>
              <w:spacing w:line="460" w:lineRule="exact"/>
              <w:jc w:val="center"/>
              <w:rPr>
                <w:rFonts w:ascii="宋体" w:hAnsi="宋体"/>
                <w:sz w:val="22"/>
                <w:szCs w:val="22"/>
                <w:highlight w:val="none"/>
              </w:rPr>
            </w:pPr>
          </w:p>
        </w:tc>
        <w:tc>
          <w:tcPr>
            <w:tcW w:w="1484" w:type="dxa"/>
            <w:vAlign w:val="center"/>
          </w:tcPr>
          <w:p w14:paraId="0CC92EDD">
            <w:pPr>
              <w:snapToGrid w:val="0"/>
              <w:spacing w:line="460" w:lineRule="exact"/>
              <w:jc w:val="center"/>
              <w:rPr>
                <w:rFonts w:ascii="宋体" w:hAnsi="宋体"/>
                <w:sz w:val="22"/>
                <w:szCs w:val="22"/>
                <w:highlight w:val="none"/>
              </w:rPr>
            </w:pPr>
          </w:p>
        </w:tc>
      </w:tr>
      <w:tr w14:paraId="1FDF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794" w:type="dxa"/>
            <w:vAlign w:val="center"/>
          </w:tcPr>
          <w:p w14:paraId="1574A329">
            <w:pPr>
              <w:snapToGrid w:val="0"/>
              <w:spacing w:line="460" w:lineRule="exact"/>
              <w:jc w:val="center"/>
              <w:rPr>
                <w:rFonts w:ascii="宋体" w:hAnsi="宋体"/>
                <w:sz w:val="22"/>
                <w:szCs w:val="22"/>
                <w:highlight w:val="none"/>
              </w:rPr>
            </w:pPr>
          </w:p>
        </w:tc>
        <w:tc>
          <w:tcPr>
            <w:tcW w:w="1578" w:type="dxa"/>
            <w:vAlign w:val="center"/>
          </w:tcPr>
          <w:p w14:paraId="1FF9FD4A">
            <w:pPr>
              <w:snapToGrid w:val="0"/>
              <w:spacing w:line="460" w:lineRule="exact"/>
              <w:jc w:val="center"/>
              <w:rPr>
                <w:rFonts w:ascii="宋体" w:hAnsi="宋体"/>
                <w:sz w:val="22"/>
                <w:szCs w:val="22"/>
                <w:highlight w:val="none"/>
              </w:rPr>
            </w:pPr>
          </w:p>
        </w:tc>
        <w:tc>
          <w:tcPr>
            <w:tcW w:w="1316" w:type="dxa"/>
            <w:vAlign w:val="center"/>
          </w:tcPr>
          <w:p w14:paraId="3BD0960B">
            <w:pPr>
              <w:snapToGrid w:val="0"/>
              <w:spacing w:line="460" w:lineRule="exact"/>
              <w:jc w:val="center"/>
              <w:rPr>
                <w:rFonts w:ascii="宋体" w:hAnsi="宋体"/>
                <w:sz w:val="22"/>
                <w:szCs w:val="22"/>
                <w:highlight w:val="none"/>
              </w:rPr>
            </w:pPr>
          </w:p>
        </w:tc>
        <w:tc>
          <w:tcPr>
            <w:tcW w:w="1411" w:type="dxa"/>
            <w:vAlign w:val="center"/>
          </w:tcPr>
          <w:p w14:paraId="1B74D00C">
            <w:pPr>
              <w:snapToGrid w:val="0"/>
              <w:spacing w:line="460" w:lineRule="exact"/>
              <w:jc w:val="center"/>
              <w:rPr>
                <w:rFonts w:ascii="宋体" w:hAnsi="宋体"/>
                <w:sz w:val="22"/>
                <w:szCs w:val="22"/>
                <w:highlight w:val="none"/>
              </w:rPr>
            </w:pPr>
          </w:p>
        </w:tc>
        <w:tc>
          <w:tcPr>
            <w:tcW w:w="1240" w:type="dxa"/>
            <w:vAlign w:val="center"/>
          </w:tcPr>
          <w:p w14:paraId="524F7CA5">
            <w:pPr>
              <w:snapToGrid w:val="0"/>
              <w:spacing w:line="460" w:lineRule="exact"/>
              <w:jc w:val="center"/>
              <w:rPr>
                <w:rFonts w:ascii="宋体" w:hAnsi="宋体"/>
                <w:sz w:val="22"/>
                <w:szCs w:val="22"/>
                <w:highlight w:val="none"/>
              </w:rPr>
            </w:pPr>
          </w:p>
        </w:tc>
        <w:tc>
          <w:tcPr>
            <w:tcW w:w="1310" w:type="dxa"/>
            <w:vAlign w:val="center"/>
          </w:tcPr>
          <w:p w14:paraId="1A007DFC">
            <w:pPr>
              <w:snapToGrid w:val="0"/>
              <w:spacing w:line="460" w:lineRule="exact"/>
              <w:jc w:val="center"/>
              <w:rPr>
                <w:rFonts w:ascii="宋体" w:hAnsi="宋体"/>
                <w:sz w:val="22"/>
                <w:szCs w:val="22"/>
                <w:highlight w:val="none"/>
              </w:rPr>
            </w:pPr>
          </w:p>
        </w:tc>
        <w:tc>
          <w:tcPr>
            <w:tcW w:w="1484" w:type="dxa"/>
            <w:vAlign w:val="center"/>
          </w:tcPr>
          <w:p w14:paraId="10FBCB44">
            <w:pPr>
              <w:snapToGrid w:val="0"/>
              <w:spacing w:line="460" w:lineRule="exact"/>
              <w:jc w:val="center"/>
              <w:rPr>
                <w:rFonts w:ascii="宋体" w:hAnsi="宋体"/>
                <w:sz w:val="22"/>
                <w:szCs w:val="22"/>
                <w:highlight w:val="none"/>
              </w:rPr>
            </w:pPr>
          </w:p>
        </w:tc>
        <w:tc>
          <w:tcPr>
            <w:tcW w:w="1484" w:type="dxa"/>
            <w:vAlign w:val="center"/>
          </w:tcPr>
          <w:p w14:paraId="19F688F0">
            <w:pPr>
              <w:snapToGrid w:val="0"/>
              <w:spacing w:line="460" w:lineRule="exact"/>
              <w:jc w:val="center"/>
              <w:rPr>
                <w:rFonts w:ascii="宋体" w:hAnsi="宋体"/>
                <w:sz w:val="22"/>
                <w:szCs w:val="22"/>
                <w:highlight w:val="none"/>
              </w:rPr>
            </w:pPr>
          </w:p>
        </w:tc>
      </w:tr>
      <w:tr w14:paraId="21A1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794" w:type="dxa"/>
            <w:vAlign w:val="center"/>
          </w:tcPr>
          <w:p w14:paraId="125EBBB1">
            <w:pPr>
              <w:snapToGrid w:val="0"/>
              <w:spacing w:line="460" w:lineRule="exact"/>
              <w:jc w:val="center"/>
              <w:rPr>
                <w:rFonts w:ascii="宋体" w:hAnsi="宋体"/>
                <w:sz w:val="22"/>
                <w:szCs w:val="22"/>
                <w:highlight w:val="none"/>
              </w:rPr>
            </w:pPr>
          </w:p>
        </w:tc>
        <w:tc>
          <w:tcPr>
            <w:tcW w:w="1578" w:type="dxa"/>
            <w:vAlign w:val="center"/>
          </w:tcPr>
          <w:p w14:paraId="79CE4E93">
            <w:pPr>
              <w:snapToGrid w:val="0"/>
              <w:spacing w:line="460" w:lineRule="exact"/>
              <w:jc w:val="center"/>
              <w:rPr>
                <w:rFonts w:ascii="宋体" w:hAnsi="宋体"/>
                <w:sz w:val="22"/>
                <w:szCs w:val="22"/>
                <w:highlight w:val="none"/>
              </w:rPr>
            </w:pPr>
          </w:p>
        </w:tc>
        <w:tc>
          <w:tcPr>
            <w:tcW w:w="1316" w:type="dxa"/>
            <w:vAlign w:val="center"/>
          </w:tcPr>
          <w:p w14:paraId="3095B564">
            <w:pPr>
              <w:snapToGrid w:val="0"/>
              <w:spacing w:line="460" w:lineRule="exact"/>
              <w:jc w:val="center"/>
              <w:rPr>
                <w:rFonts w:ascii="宋体" w:hAnsi="宋体"/>
                <w:sz w:val="22"/>
                <w:szCs w:val="22"/>
                <w:highlight w:val="none"/>
              </w:rPr>
            </w:pPr>
          </w:p>
        </w:tc>
        <w:tc>
          <w:tcPr>
            <w:tcW w:w="1411" w:type="dxa"/>
            <w:vAlign w:val="center"/>
          </w:tcPr>
          <w:p w14:paraId="5C941FBA">
            <w:pPr>
              <w:snapToGrid w:val="0"/>
              <w:spacing w:line="460" w:lineRule="exact"/>
              <w:jc w:val="center"/>
              <w:rPr>
                <w:rFonts w:ascii="宋体" w:hAnsi="宋体"/>
                <w:sz w:val="22"/>
                <w:szCs w:val="22"/>
                <w:highlight w:val="none"/>
              </w:rPr>
            </w:pPr>
          </w:p>
        </w:tc>
        <w:tc>
          <w:tcPr>
            <w:tcW w:w="1240" w:type="dxa"/>
            <w:vAlign w:val="center"/>
          </w:tcPr>
          <w:p w14:paraId="70BC1408">
            <w:pPr>
              <w:snapToGrid w:val="0"/>
              <w:spacing w:line="460" w:lineRule="exact"/>
              <w:jc w:val="center"/>
              <w:rPr>
                <w:rFonts w:ascii="宋体" w:hAnsi="宋体"/>
                <w:sz w:val="22"/>
                <w:szCs w:val="22"/>
                <w:highlight w:val="none"/>
              </w:rPr>
            </w:pPr>
          </w:p>
        </w:tc>
        <w:tc>
          <w:tcPr>
            <w:tcW w:w="1310" w:type="dxa"/>
            <w:vAlign w:val="center"/>
          </w:tcPr>
          <w:p w14:paraId="4279077A">
            <w:pPr>
              <w:snapToGrid w:val="0"/>
              <w:spacing w:line="460" w:lineRule="exact"/>
              <w:jc w:val="center"/>
              <w:rPr>
                <w:rFonts w:ascii="宋体" w:hAnsi="宋体"/>
                <w:sz w:val="22"/>
                <w:szCs w:val="22"/>
                <w:highlight w:val="none"/>
              </w:rPr>
            </w:pPr>
          </w:p>
        </w:tc>
        <w:tc>
          <w:tcPr>
            <w:tcW w:w="1484" w:type="dxa"/>
            <w:vAlign w:val="center"/>
          </w:tcPr>
          <w:p w14:paraId="0312C68E">
            <w:pPr>
              <w:snapToGrid w:val="0"/>
              <w:spacing w:line="460" w:lineRule="exact"/>
              <w:jc w:val="center"/>
              <w:rPr>
                <w:rFonts w:ascii="宋体" w:hAnsi="宋体"/>
                <w:sz w:val="22"/>
                <w:szCs w:val="22"/>
                <w:highlight w:val="none"/>
              </w:rPr>
            </w:pPr>
          </w:p>
        </w:tc>
        <w:tc>
          <w:tcPr>
            <w:tcW w:w="1484" w:type="dxa"/>
            <w:vAlign w:val="center"/>
          </w:tcPr>
          <w:p w14:paraId="68124B97">
            <w:pPr>
              <w:snapToGrid w:val="0"/>
              <w:spacing w:line="460" w:lineRule="exact"/>
              <w:jc w:val="center"/>
              <w:rPr>
                <w:rFonts w:ascii="宋体" w:hAnsi="宋体"/>
                <w:sz w:val="22"/>
                <w:szCs w:val="22"/>
                <w:highlight w:val="none"/>
              </w:rPr>
            </w:pPr>
          </w:p>
        </w:tc>
      </w:tr>
      <w:tr w14:paraId="42F5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794" w:type="dxa"/>
            <w:vAlign w:val="center"/>
          </w:tcPr>
          <w:p w14:paraId="1A295360">
            <w:pPr>
              <w:snapToGrid w:val="0"/>
              <w:spacing w:line="460" w:lineRule="exact"/>
              <w:jc w:val="center"/>
              <w:rPr>
                <w:rFonts w:ascii="宋体" w:hAnsi="宋体"/>
                <w:sz w:val="22"/>
                <w:szCs w:val="22"/>
                <w:highlight w:val="none"/>
              </w:rPr>
            </w:pPr>
          </w:p>
        </w:tc>
        <w:tc>
          <w:tcPr>
            <w:tcW w:w="1578" w:type="dxa"/>
            <w:vAlign w:val="center"/>
          </w:tcPr>
          <w:p w14:paraId="76835E06">
            <w:pPr>
              <w:snapToGrid w:val="0"/>
              <w:spacing w:line="460" w:lineRule="exact"/>
              <w:jc w:val="center"/>
              <w:rPr>
                <w:rFonts w:ascii="宋体" w:hAnsi="宋体"/>
                <w:sz w:val="22"/>
                <w:szCs w:val="22"/>
                <w:highlight w:val="none"/>
              </w:rPr>
            </w:pPr>
          </w:p>
        </w:tc>
        <w:tc>
          <w:tcPr>
            <w:tcW w:w="1316" w:type="dxa"/>
            <w:vAlign w:val="center"/>
          </w:tcPr>
          <w:p w14:paraId="5DA41E3F">
            <w:pPr>
              <w:snapToGrid w:val="0"/>
              <w:spacing w:line="460" w:lineRule="exact"/>
              <w:jc w:val="center"/>
              <w:rPr>
                <w:rFonts w:ascii="宋体" w:hAnsi="宋体"/>
                <w:sz w:val="22"/>
                <w:szCs w:val="22"/>
                <w:highlight w:val="none"/>
              </w:rPr>
            </w:pPr>
          </w:p>
        </w:tc>
        <w:tc>
          <w:tcPr>
            <w:tcW w:w="1411" w:type="dxa"/>
            <w:vAlign w:val="center"/>
          </w:tcPr>
          <w:p w14:paraId="5956050C">
            <w:pPr>
              <w:snapToGrid w:val="0"/>
              <w:spacing w:line="460" w:lineRule="exact"/>
              <w:jc w:val="center"/>
              <w:rPr>
                <w:rFonts w:ascii="宋体" w:hAnsi="宋体"/>
                <w:sz w:val="22"/>
                <w:szCs w:val="22"/>
                <w:highlight w:val="none"/>
              </w:rPr>
            </w:pPr>
          </w:p>
        </w:tc>
        <w:tc>
          <w:tcPr>
            <w:tcW w:w="1240" w:type="dxa"/>
            <w:vAlign w:val="center"/>
          </w:tcPr>
          <w:p w14:paraId="30727E2E">
            <w:pPr>
              <w:snapToGrid w:val="0"/>
              <w:spacing w:line="460" w:lineRule="exact"/>
              <w:jc w:val="center"/>
              <w:rPr>
                <w:rFonts w:ascii="宋体" w:hAnsi="宋体"/>
                <w:sz w:val="22"/>
                <w:szCs w:val="22"/>
                <w:highlight w:val="none"/>
              </w:rPr>
            </w:pPr>
          </w:p>
        </w:tc>
        <w:tc>
          <w:tcPr>
            <w:tcW w:w="1310" w:type="dxa"/>
            <w:vAlign w:val="center"/>
          </w:tcPr>
          <w:p w14:paraId="2BAF66BE">
            <w:pPr>
              <w:snapToGrid w:val="0"/>
              <w:spacing w:line="460" w:lineRule="exact"/>
              <w:jc w:val="center"/>
              <w:rPr>
                <w:rFonts w:ascii="宋体" w:hAnsi="宋体"/>
                <w:sz w:val="22"/>
                <w:szCs w:val="22"/>
                <w:highlight w:val="none"/>
              </w:rPr>
            </w:pPr>
          </w:p>
        </w:tc>
        <w:tc>
          <w:tcPr>
            <w:tcW w:w="1484" w:type="dxa"/>
            <w:vAlign w:val="center"/>
          </w:tcPr>
          <w:p w14:paraId="26BE4BB5">
            <w:pPr>
              <w:snapToGrid w:val="0"/>
              <w:spacing w:line="460" w:lineRule="exact"/>
              <w:jc w:val="center"/>
              <w:rPr>
                <w:rFonts w:ascii="宋体" w:hAnsi="宋体"/>
                <w:sz w:val="22"/>
                <w:szCs w:val="22"/>
                <w:highlight w:val="none"/>
              </w:rPr>
            </w:pPr>
          </w:p>
        </w:tc>
        <w:tc>
          <w:tcPr>
            <w:tcW w:w="1484" w:type="dxa"/>
            <w:vAlign w:val="center"/>
          </w:tcPr>
          <w:p w14:paraId="7D53C7A6">
            <w:pPr>
              <w:snapToGrid w:val="0"/>
              <w:spacing w:line="460" w:lineRule="exact"/>
              <w:jc w:val="center"/>
              <w:rPr>
                <w:rFonts w:ascii="宋体" w:hAnsi="宋体"/>
                <w:sz w:val="22"/>
                <w:szCs w:val="22"/>
                <w:highlight w:val="none"/>
              </w:rPr>
            </w:pPr>
          </w:p>
        </w:tc>
      </w:tr>
      <w:tr w14:paraId="6300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794" w:type="dxa"/>
            <w:vAlign w:val="center"/>
          </w:tcPr>
          <w:p w14:paraId="302D7020">
            <w:pPr>
              <w:snapToGrid w:val="0"/>
              <w:spacing w:line="460" w:lineRule="exact"/>
              <w:jc w:val="center"/>
              <w:rPr>
                <w:rFonts w:ascii="宋体" w:hAnsi="宋体"/>
                <w:sz w:val="22"/>
                <w:szCs w:val="22"/>
                <w:highlight w:val="none"/>
              </w:rPr>
            </w:pPr>
          </w:p>
        </w:tc>
        <w:tc>
          <w:tcPr>
            <w:tcW w:w="1578" w:type="dxa"/>
            <w:vAlign w:val="center"/>
          </w:tcPr>
          <w:p w14:paraId="5029F072">
            <w:pPr>
              <w:snapToGrid w:val="0"/>
              <w:spacing w:line="460" w:lineRule="exact"/>
              <w:jc w:val="center"/>
              <w:rPr>
                <w:rFonts w:ascii="宋体" w:hAnsi="宋体"/>
                <w:sz w:val="22"/>
                <w:szCs w:val="22"/>
                <w:highlight w:val="none"/>
              </w:rPr>
            </w:pPr>
          </w:p>
        </w:tc>
        <w:tc>
          <w:tcPr>
            <w:tcW w:w="1316" w:type="dxa"/>
            <w:vAlign w:val="center"/>
          </w:tcPr>
          <w:p w14:paraId="16941E0E">
            <w:pPr>
              <w:snapToGrid w:val="0"/>
              <w:spacing w:line="460" w:lineRule="exact"/>
              <w:jc w:val="center"/>
              <w:rPr>
                <w:rFonts w:ascii="宋体" w:hAnsi="宋体"/>
                <w:sz w:val="22"/>
                <w:szCs w:val="22"/>
                <w:highlight w:val="none"/>
              </w:rPr>
            </w:pPr>
          </w:p>
        </w:tc>
        <w:tc>
          <w:tcPr>
            <w:tcW w:w="1411" w:type="dxa"/>
            <w:vAlign w:val="center"/>
          </w:tcPr>
          <w:p w14:paraId="5D6C4CCD">
            <w:pPr>
              <w:snapToGrid w:val="0"/>
              <w:spacing w:line="460" w:lineRule="exact"/>
              <w:jc w:val="center"/>
              <w:rPr>
                <w:rFonts w:ascii="宋体" w:hAnsi="宋体"/>
                <w:sz w:val="22"/>
                <w:szCs w:val="22"/>
                <w:highlight w:val="none"/>
              </w:rPr>
            </w:pPr>
          </w:p>
        </w:tc>
        <w:tc>
          <w:tcPr>
            <w:tcW w:w="1240" w:type="dxa"/>
            <w:vAlign w:val="center"/>
          </w:tcPr>
          <w:p w14:paraId="4CAF785C">
            <w:pPr>
              <w:snapToGrid w:val="0"/>
              <w:spacing w:line="460" w:lineRule="exact"/>
              <w:jc w:val="center"/>
              <w:rPr>
                <w:rFonts w:ascii="宋体" w:hAnsi="宋体"/>
                <w:sz w:val="22"/>
                <w:szCs w:val="22"/>
                <w:highlight w:val="none"/>
              </w:rPr>
            </w:pPr>
          </w:p>
        </w:tc>
        <w:tc>
          <w:tcPr>
            <w:tcW w:w="1310" w:type="dxa"/>
            <w:vAlign w:val="center"/>
          </w:tcPr>
          <w:p w14:paraId="757F9D32">
            <w:pPr>
              <w:snapToGrid w:val="0"/>
              <w:spacing w:line="460" w:lineRule="exact"/>
              <w:jc w:val="center"/>
              <w:rPr>
                <w:rFonts w:ascii="宋体" w:hAnsi="宋体"/>
                <w:sz w:val="22"/>
                <w:szCs w:val="22"/>
                <w:highlight w:val="none"/>
              </w:rPr>
            </w:pPr>
          </w:p>
        </w:tc>
        <w:tc>
          <w:tcPr>
            <w:tcW w:w="1484" w:type="dxa"/>
            <w:vAlign w:val="center"/>
          </w:tcPr>
          <w:p w14:paraId="52197E85">
            <w:pPr>
              <w:snapToGrid w:val="0"/>
              <w:spacing w:line="460" w:lineRule="exact"/>
              <w:jc w:val="center"/>
              <w:rPr>
                <w:rFonts w:ascii="宋体" w:hAnsi="宋体"/>
                <w:sz w:val="22"/>
                <w:szCs w:val="22"/>
                <w:highlight w:val="none"/>
              </w:rPr>
            </w:pPr>
          </w:p>
        </w:tc>
        <w:tc>
          <w:tcPr>
            <w:tcW w:w="1484" w:type="dxa"/>
            <w:vAlign w:val="center"/>
          </w:tcPr>
          <w:p w14:paraId="5961CA5D">
            <w:pPr>
              <w:snapToGrid w:val="0"/>
              <w:spacing w:line="460" w:lineRule="exact"/>
              <w:jc w:val="center"/>
              <w:rPr>
                <w:rFonts w:ascii="宋体" w:hAnsi="宋体"/>
                <w:sz w:val="22"/>
                <w:szCs w:val="22"/>
                <w:highlight w:val="none"/>
              </w:rPr>
            </w:pPr>
          </w:p>
        </w:tc>
      </w:tr>
      <w:tr w14:paraId="4E97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794" w:type="dxa"/>
            <w:vAlign w:val="center"/>
          </w:tcPr>
          <w:p w14:paraId="3F1425B7">
            <w:pPr>
              <w:snapToGrid w:val="0"/>
              <w:spacing w:line="460" w:lineRule="exact"/>
              <w:jc w:val="center"/>
              <w:rPr>
                <w:rFonts w:ascii="宋体" w:hAnsi="宋体"/>
                <w:sz w:val="22"/>
                <w:szCs w:val="22"/>
                <w:highlight w:val="none"/>
              </w:rPr>
            </w:pPr>
          </w:p>
        </w:tc>
        <w:tc>
          <w:tcPr>
            <w:tcW w:w="1578" w:type="dxa"/>
            <w:vAlign w:val="center"/>
          </w:tcPr>
          <w:p w14:paraId="71146A87">
            <w:pPr>
              <w:snapToGrid w:val="0"/>
              <w:spacing w:line="460" w:lineRule="exact"/>
              <w:jc w:val="center"/>
              <w:rPr>
                <w:rFonts w:ascii="宋体" w:hAnsi="宋体"/>
                <w:sz w:val="22"/>
                <w:szCs w:val="22"/>
                <w:highlight w:val="none"/>
              </w:rPr>
            </w:pPr>
          </w:p>
        </w:tc>
        <w:tc>
          <w:tcPr>
            <w:tcW w:w="1316" w:type="dxa"/>
            <w:vAlign w:val="center"/>
          </w:tcPr>
          <w:p w14:paraId="1C882993">
            <w:pPr>
              <w:snapToGrid w:val="0"/>
              <w:spacing w:line="460" w:lineRule="exact"/>
              <w:jc w:val="center"/>
              <w:rPr>
                <w:rFonts w:ascii="宋体" w:hAnsi="宋体"/>
                <w:sz w:val="22"/>
                <w:szCs w:val="22"/>
                <w:highlight w:val="none"/>
              </w:rPr>
            </w:pPr>
          </w:p>
        </w:tc>
        <w:tc>
          <w:tcPr>
            <w:tcW w:w="1411" w:type="dxa"/>
            <w:vAlign w:val="center"/>
          </w:tcPr>
          <w:p w14:paraId="3BFFC49B">
            <w:pPr>
              <w:snapToGrid w:val="0"/>
              <w:spacing w:line="460" w:lineRule="exact"/>
              <w:jc w:val="center"/>
              <w:rPr>
                <w:rFonts w:ascii="宋体" w:hAnsi="宋体"/>
                <w:sz w:val="22"/>
                <w:szCs w:val="22"/>
                <w:highlight w:val="none"/>
              </w:rPr>
            </w:pPr>
          </w:p>
        </w:tc>
        <w:tc>
          <w:tcPr>
            <w:tcW w:w="1240" w:type="dxa"/>
            <w:vAlign w:val="center"/>
          </w:tcPr>
          <w:p w14:paraId="03C47A28">
            <w:pPr>
              <w:snapToGrid w:val="0"/>
              <w:spacing w:line="460" w:lineRule="exact"/>
              <w:jc w:val="center"/>
              <w:rPr>
                <w:rFonts w:ascii="宋体" w:hAnsi="宋体"/>
                <w:sz w:val="22"/>
                <w:szCs w:val="22"/>
                <w:highlight w:val="none"/>
              </w:rPr>
            </w:pPr>
          </w:p>
        </w:tc>
        <w:tc>
          <w:tcPr>
            <w:tcW w:w="1310" w:type="dxa"/>
            <w:vAlign w:val="center"/>
          </w:tcPr>
          <w:p w14:paraId="589243A6">
            <w:pPr>
              <w:snapToGrid w:val="0"/>
              <w:spacing w:line="460" w:lineRule="exact"/>
              <w:jc w:val="center"/>
              <w:rPr>
                <w:rFonts w:ascii="宋体" w:hAnsi="宋体"/>
                <w:sz w:val="22"/>
                <w:szCs w:val="22"/>
                <w:highlight w:val="none"/>
              </w:rPr>
            </w:pPr>
          </w:p>
        </w:tc>
        <w:tc>
          <w:tcPr>
            <w:tcW w:w="1484" w:type="dxa"/>
            <w:vAlign w:val="center"/>
          </w:tcPr>
          <w:p w14:paraId="5C60C851">
            <w:pPr>
              <w:snapToGrid w:val="0"/>
              <w:spacing w:line="460" w:lineRule="exact"/>
              <w:jc w:val="center"/>
              <w:rPr>
                <w:rFonts w:ascii="宋体" w:hAnsi="宋体"/>
                <w:sz w:val="22"/>
                <w:szCs w:val="22"/>
                <w:highlight w:val="none"/>
              </w:rPr>
            </w:pPr>
          </w:p>
        </w:tc>
        <w:tc>
          <w:tcPr>
            <w:tcW w:w="1484" w:type="dxa"/>
            <w:vAlign w:val="center"/>
          </w:tcPr>
          <w:p w14:paraId="0E8A5834">
            <w:pPr>
              <w:snapToGrid w:val="0"/>
              <w:spacing w:line="460" w:lineRule="exact"/>
              <w:jc w:val="center"/>
              <w:rPr>
                <w:rFonts w:ascii="宋体" w:hAnsi="宋体"/>
                <w:sz w:val="22"/>
                <w:szCs w:val="22"/>
                <w:highlight w:val="none"/>
              </w:rPr>
            </w:pPr>
          </w:p>
        </w:tc>
      </w:tr>
      <w:tr w14:paraId="6B66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794" w:type="dxa"/>
            <w:vAlign w:val="center"/>
          </w:tcPr>
          <w:p w14:paraId="5DEDA0F5">
            <w:pPr>
              <w:snapToGrid w:val="0"/>
              <w:spacing w:line="4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w:t>
            </w:r>
          </w:p>
        </w:tc>
        <w:tc>
          <w:tcPr>
            <w:tcW w:w="1578" w:type="dxa"/>
            <w:vAlign w:val="center"/>
          </w:tcPr>
          <w:p w14:paraId="037D7D3D">
            <w:pPr>
              <w:snapToGrid w:val="0"/>
              <w:spacing w:line="460" w:lineRule="exact"/>
              <w:jc w:val="center"/>
              <w:rPr>
                <w:rFonts w:ascii="宋体" w:hAnsi="宋体"/>
                <w:sz w:val="22"/>
                <w:szCs w:val="22"/>
                <w:highlight w:val="none"/>
              </w:rPr>
            </w:pPr>
          </w:p>
        </w:tc>
        <w:tc>
          <w:tcPr>
            <w:tcW w:w="1316" w:type="dxa"/>
            <w:vAlign w:val="center"/>
          </w:tcPr>
          <w:p w14:paraId="00C84AC7">
            <w:pPr>
              <w:snapToGrid w:val="0"/>
              <w:spacing w:line="460" w:lineRule="exact"/>
              <w:jc w:val="center"/>
              <w:rPr>
                <w:rFonts w:ascii="宋体" w:hAnsi="宋体"/>
                <w:sz w:val="22"/>
                <w:szCs w:val="22"/>
                <w:highlight w:val="none"/>
              </w:rPr>
            </w:pPr>
          </w:p>
        </w:tc>
        <w:tc>
          <w:tcPr>
            <w:tcW w:w="1411" w:type="dxa"/>
            <w:vAlign w:val="center"/>
          </w:tcPr>
          <w:p w14:paraId="5EED0D47">
            <w:pPr>
              <w:snapToGrid w:val="0"/>
              <w:spacing w:line="460" w:lineRule="exact"/>
              <w:jc w:val="center"/>
              <w:rPr>
                <w:rFonts w:ascii="宋体" w:hAnsi="宋体"/>
                <w:sz w:val="22"/>
                <w:szCs w:val="22"/>
                <w:highlight w:val="none"/>
              </w:rPr>
            </w:pPr>
          </w:p>
        </w:tc>
        <w:tc>
          <w:tcPr>
            <w:tcW w:w="1240" w:type="dxa"/>
            <w:vAlign w:val="center"/>
          </w:tcPr>
          <w:p w14:paraId="4C1DFD68">
            <w:pPr>
              <w:snapToGrid w:val="0"/>
              <w:spacing w:line="460" w:lineRule="exact"/>
              <w:jc w:val="center"/>
              <w:rPr>
                <w:rFonts w:ascii="宋体" w:hAnsi="宋体"/>
                <w:sz w:val="22"/>
                <w:szCs w:val="22"/>
                <w:highlight w:val="none"/>
              </w:rPr>
            </w:pPr>
          </w:p>
        </w:tc>
        <w:tc>
          <w:tcPr>
            <w:tcW w:w="1310" w:type="dxa"/>
            <w:vAlign w:val="center"/>
          </w:tcPr>
          <w:p w14:paraId="37B9375C">
            <w:pPr>
              <w:snapToGrid w:val="0"/>
              <w:spacing w:line="460" w:lineRule="exact"/>
              <w:jc w:val="center"/>
              <w:rPr>
                <w:rFonts w:ascii="宋体" w:hAnsi="宋体"/>
                <w:sz w:val="22"/>
                <w:szCs w:val="22"/>
                <w:highlight w:val="none"/>
              </w:rPr>
            </w:pPr>
          </w:p>
        </w:tc>
        <w:tc>
          <w:tcPr>
            <w:tcW w:w="1484" w:type="dxa"/>
            <w:vAlign w:val="center"/>
          </w:tcPr>
          <w:p w14:paraId="5C8EF4E3">
            <w:pPr>
              <w:snapToGrid w:val="0"/>
              <w:spacing w:line="460" w:lineRule="exact"/>
              <w:jc w:val="center"/>
              <w:rPr>
                <w:rFonts w:ascii="宋体" w:hAnsi="宋体"/>
                <w:sz w:val="22"/>
                <w:szCs w:val="22"/>
                <w:highlight w:val="none"/>
              </w:rPr>
            </w:pPr>
          </w:p>
        </w:tc>
        <w:tc>
          <w:tcPr>
            <w:tcW w:w="1484" w:type="dxa"/>
            <w:vAlign w:val="center"/>
          </w:tcPr>
          <w:p w14:paraId="765DB72A">
            <w:pPr>
              <w:snapToGrid w:val="0"/>
              <w:spacing w:line="460" w:lineRule="exact"/>
              <w:jc w:val="center"/>
              <w:rPr>
                <w:rFonts w:ascii="宋体" w:hAnsi="宋体"/>
                <w:sz w:val="22"/>
                <w:szCs w:val="22"/>
                <w:highlight w:val="none"/>
              </w:rPr>
            </w:pPr>
          </w:p>
        </w:tc>
      </w:tr>
    </w:tbl>
    <w:p w14:paraId="7B340772">
      <w:pPr>
        <w:jc w:val="both"/>
        <w:rPr>
          <w:rFonts w:ascii="宋体" w:hAnsi="宋体"/>
          <w:sz w:val="24"/>
          <w:szCs w:val="24"/>
          <w:highlight w:val="none"/>
        </w:rPr>
      </w:pPr>
    </w:p>
    <w:p w14:paraId="16B93781">
      <w:pPr>
        <w:ind w:firstLine="3120" w:firstLineChars="1300"/>
        <w:rPr>
          <w:rFonts w:ascii="宋体" w:hAnsi="宋体"/>
          <w:sz w:val="24"/>
          <w:szCs w:val="24"/>
          <w:highlight w:val="none"/>
        </w:rPr>
      </w:pPr>
      <w:r>
        <w:rPr>
          <w:rFonts w:hint="eastAsia" w:ascii="宋体" w:hAnsi="宋体"/>
          <w:sz w:val="24"/>
          <w:szCs w:val="24"/>
          <w:highlight w:val="none"/>
        </w:rPr>
        <w:t xml:space="preserve">               </w:t>
      </w:r>
    </w:p>
    <w:p w14:paraId="37424BB4">
      <w:pPr>
        <w:spacing w:line="240" w:lineRule="auto"/>
        <w:ind w:firstLine="6240" w:firstLineChars="2600"/>
        <w:rPr>
          <w:rFonts w:hint="eastAsia"/>
          <w:highlight w:val="none"/>
        </w:rPr>
      </w:pPr>
      <w:r>
        <w:rPr>
          <w:rFonts w:hint="eastAsia" w:ascii="宋体" w:hAnsi="宋体"/>
          <w:sz w:val="24"/>
          <w:szCs w:val="24"/>
          <w:highlight w:val="none"/>
        </w:rPr>
        <w:t xml:space="preserve">  供应商（</w:t>
      </w:r>
      <w:r>
        <w:rPr>
          <w:rFonts w:hint="eastAsia" w:ascii="宋体" w:hAnsi="宋体"/>
          <w:sz w:val="24"/>
          <w:szCs w:val="24"/>
          <w:highlight w:val="none"/>
          <w:lang w:eastAsia="zh-CN"/>
        </w:rPr>
        <w:t>盖</w:t>
      </w:r>
      <w:r>
        <w:rPr>
          <w:rFonts w:hint="eastAsia" w:ascii="宋体" w:hAnsi="宋体"/>
          <w:sz w:val="24"/>
          <w:szCs w:val="24"/>
          <w:highlight w:val="none"/>
        </w:rPr>
        <w:t>章）</w:t>
      </w:r>
    </w:p>
    <w:p w14:paraId="6C5AA856">
      <w:pPr>
        <w:snapToGrid w:val="0"/>
        <w:spacing w:beforeLines="100" w:afterLines="100" w:line="240" w:lineRule="auto"/>
        <w:jc w:val="center"/>
        <w:rPr>
          <w:highlight w:val="none"/>
        </w:rPr>
      </w:pPr>
      <w:r>
        <w:rPr>
          <w:rFonts w:hint="eastAsia" w:ascii="宋体" w:hAnsi="宋体"/>
          <w:sz w:val="24"/>
          <w:szCs w:val="24"/>
          <w:highlight w:val="none"/>
        </w:rPr>
        <w:t xml:space="preserve">                                                日期：    年  月  日 </w:t>
      </w:r>
    </w:p>
    <w:p w14:paraId="0D007548">
      <w:pPr>
        <w:pStyle w:val="2"/>
        <w:jc w:val="center"/>
        <w:rPr>
          <w:rFonts w:hint="eastAsia" w:ascii="宋体" w:hAnsi="宋体"/>
          <w:b/>
          <w:bCs/>
          <w:sz w:val="24"/>
          <w:szCs w:val="24"/>
          <w:highlight w:val="none"/>
          <w:lang w:val="en-US" w:eastAsia="zh-CN"/>
        </w:rPr>
      </w:pPr>
      <w:bookmarkStart w:id="131" w:name="_Toc13877"/>
      <w:r>
        <w:rPr>
          <w:rFonts w:hint="eastAsia" w:ascii="宋体" w:hAnsi="宋体"/>
          <w:b/>
          <w:bCs/>
          <w:sz w:val="24"/>
          <w:szCs w:val="24"/>
          <w:highlight w:val="none"/>
          <w:lang w:val="en-US" w:eastAsia="zh-CN"/>
        </w:rPr>
        <w:t>2-4、技术偏离及详细配置明细表</w:t>
      </w:r>
      <w:bookmarkEnd w:id="131"/>
    </w:p>
    <w:tbl>
      <w:tblPr>
        <w:tblStyle w:val="29"/>
        <w:tblW w:w="10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2912"/>
        <w:gridCol w:w="2285"/>
        <w:gridCol w:w="2156"/>
        <w:gridCol w:w="2044"/>
      </w:tblGrid>
      <w:tr w14:paraId="7B36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20" w:type="dxa"/>
            <w:vAlign w:val="center"/>
          </w:tcPr>
          <w:p w14:paraId="69BDA851">
            <w:pPr>
              <w:jc w:val="center"/>
              <w:rPr>
                <w:rFonts w:hint="eastAsia"/>
                <w:highlight w:val="none"/>
                <w:vertAlign w:val="baseline"/>
                <w:lang w:eastAsia="zh-CN"/>
              </w:rPr>
            </w:pPr>
            <w:r>
              <w:rPr>
                <w:rFonts w:hint="eastAsia"/>
                <w:highlight w:val="none"/>
                <w:vertAlign w:val="baseline"/>
                <w:lang w:eastAsia="zh-CN"/>
              </w:rPr>
              <w:t>序号</w:t>
            </w:r>
          </w:p>
        </w:tc>
        <w:tc>
          <w:tcPr>
            <w:tcW w:w="2912" w:type="dxa"/>
            <w:vAlign w:val="center"/>
          </w:tcPr>
          <w:p w14:paraId="65344472">
            <w:pPr>
              <w:jc w:val="center"/>
              <w:rPr>
                <w:rFonts w:hint="eastAsia"/>
                <w:highlight w:val="none"/>
                <w:vertAlign w:val="baseline"/>
                <w:lang w:eastAsia="zh-CN"/>
              </w:rPr>
            </w:pPr>
            <w:r>
              <w:rPr>
                <w:rFonts w:hint="eastAsia"/>
                <w:highlight w:val="none"/>
                <w:vertAlign w:val="baseline"/>
                <w:lang w:eastAsia="zh-CN"/>
              </w:rPr>
              <w:t>名称</w:t>
            </w:r>
          </w:p>
        </w:tc>
        <w:tc>
          <w:tcPr>
            <w:tcW w:w="2285" w:type="dxa"/>
            <w:vAlign w:val="center"/>
          </w:tcPr>
          <w:p w14:paraId="706BF58D">
            <w:pPr>
              <w:jc w:val="center"/>
              <w:rPr>
                <w:rFonts w:hint="eastAsia"/>
                <w:highlight w:val="none"/>
                <w:vertAlign w:val="baseline"/>
                <w:lang w:eastAsia="zh-CN"/>
              </w:rPr>
            </w:pPr>
            <w:r>
              <w:rPr>
                <w:rFonts w:hint="eastAsia"/>
                <w:highlight w:val="none"/>
                <w:vertAlign w:val="baseline"/>
                <w:lang w:eastAsia="zh-CN"/>
              </w:rPr>
              <w:t>磋商文件采购需求</w:t>
            </w:r>
          </w:p>
        </w:tc>
        <w:tc>
          <w:tcPr>
            <w:tcW w:w="2156" w:type="dxa"/>
            <w:vAlign w:val="center"/>
          </w:tcPr>
          <w:p w14:paraId="0A45E303">
            <w:pPr>
              <w:jc w:val="center"/>
              <w:rPr>
                <w:rFonts w:hint="eastAsia"/>
                <w:highlight w:val="none"/>
                <w:vertAlign w:val="baseline"/>
                <w:lang w:eastAsia="zh-CN"/>
              </w:rPr>
            </w:pPr>
            <w:r>
              <w:rPr>
                <w:rFonts w:hint="eastAsia"/>
                <w:highlight w:val="none"/>
                <w:vertAlign w:val="baseline"/>
                <w:lang w:eastAsia="zh-CN"/>
              </w:rPr>
              <w:t>投标文件响应情况</w:t>
            </w:r>
          </w:p>
        </w:tc>
        <w:tc>
          <w:tcPr>
            <w:tcW w:w="2044" w:type="dxa"/>
            <w:vAlign w:val="center"/>
          </w:tcPr>
          <w:p w14:paraId="4E2A9BA0">
            <w:pPr>
              <w:jc w:val="center"/>
              <w:rPr>
                <w:rFonts w:hint="default"/>
                <w:highlight w:val="none"/>
                <w:vertAlign w:val="baseline"/>
                <w:lang w:val="en-US" w:eastAsia="zh-CN"/>
              </w:rPr>
            </w:pPr>
            <w:r>
              <w:rPr>
                <w:rFonts w:hint="eastAsia"/>
                <w:highlight w:val="none"/>
                <w:vertAlign w:val="baseline"/>
                <w:lang w:val="en-US" w:eastAsia="zh-CN"/>
              </w:rPr>
              <w:t>偏离情况</w:t>
            </w:r>
          </w:p>
        </w:tc>
      </w:tr>
      <w:tr w14:paraId="2E3E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20" w:type="dxa"/>
            <w:vAlign w:val="center"/>
          </w:tcPr>
          <w:p w14:paraId="424578B1">
            <w:pPr>
              <w:jc w:val="center"/>
              <w:rPr>
                <w:rFonts w:hint="default"/>
                <w:b w:val="0"/>
                <w:bCs w:val="0"/>
                <w:sz w:val="21"/>
                <w:szCs w:val="21"/>
                <w:highlight w:val="none"/>
                <w:vertAlign w:val="baseline"/>
                <w:lang w:val="en-US" w:eastAsia="zh-CN"/>
              </w:rPr>
            </w:pPr>
            <w:r>
              <w:rPr>
                <w:rFonts w:hint="eastAsia"/>
                <w:b w:val="0"/>
                <w:bCs w:val="0"/>
                <w:sz w:val="21"/>
                <w:szCs w:val="21"/>
                <w:highlight w:val="none"/>
                <w:vertAlign w:val="baseline"/>
                <w:lang w:val="en-US" w:eastAsia="zh-CN"/>
              </w:rPr>
              <w:t>1</w:t>
            </w:r>
          </w:p>
        </w:tc>
        <w:tc>
          <w:tcPr>
            <w:tcW w:w="2912" w:type="dxa"/>
            <w:vAlign w:val="center"/>
          </w:tcPr>
          <w:p w14:paraId="333E998A">
            <w:pPr>
              <w:pStyle w:val="70"/>
              <w:keepNext w:val="0"/>
              <w:keepLines w:val="0"/>
              <w:pageBreakBefore w:val="0"/>
              <w:widowControl w:val="0"/>
              <w:kinsoku/>
              <w:wordWrap w:val="0"/>
              <w:overflowPunct/>
              <w:topLinePunct w:val="0"/>
              <w:autoSpaceDE/>
              <w:autoSpaceDN/>
              <w:bidi w:val="0"/>
              <w:spacing w:before="0" w:beforeAutospacing="0" w:after="0" w:afterAutospacing="0" w:line="240" w:lineRule="auto"/>
              <w:textAlignment w:val="auto"/>
              <w:rPr>
                <w:rFonts w:hint="eastAsia"/>
                <w:b w:val="0"/>
                <w:bCs w:val="0"/>
                <w:sz w:val="21"/>
                <w:szCs w:val="21"/>
                <w:highlight w:val="none"/>
                <w:vertAlign w:val="baseline"/>
                <w:lang w:eastAsia="zh-CN"/>
              </w:rPr>
            </w:pPr>
            <w:r>
              <w:rPr>
                <w:rFonts w:hint="eastAsia"/>
                <w:b w:val="0"/>
                <w:bCs w:val="0"/>
                <w:sz w:val="21"/>
                <w:szCs w:val="21"/>
                <w:highlight w:val="none"/>
                <w:vertAlign w:val="baseline"/>
                <w:lang w:eastAsia="zh-CN"/>
              </w:rPr>
              <w:t>“第四章</w:t>
            </w:r>
            <w:r>
              <w:rPr>
                <w:rFonts w:hint="eastAsia"/>
                <w:b w:val="0"/>
                <w:bCs w:val="0"/>
                <w:sz w:val="21"/>
                <w:szCs w:val="21"/>
                <w:highlight w:val="none"/>
                <w:vertAlign w:val="baseline"/>
                <w:lang w:val="en-US" w:eastAsia="zh-CN"/>
              </w:rPr>
              <w:t xml:space="preserve"> </w:t>
            </w:r>
            <w:r>
              <w:rPr>
                <w:rFonts w:hint="eastAsia"/>
                <w:b w:val="0"/>
                <w:bCs w:val="0"/>
                <w:sz w:val="21"/>
                <w:szCs w:val="21"/>
                <w:highlight w:val="none"/>
                <w:vertAlign w:val="baseline"/>
                <w:lang w:eastAsia="zh-CN"/>
              </w:rPr>
              <w:t>服务要求与内容”</w:t>
            </w:r>
          </w:p>
        </w:tc>
        <w:tc>
          <w:tcPr>
            <w:tcW w:w="2285" w:type="dxa"/>
            <w:vAlign w:val="center"/>
          </w:tcPr>
          <w:p w14:paraId="3ED27B2B">
            <w:pPr>
              <w:jc w:val="center"/>
              <w:rPr>
                <w:rFonts w:hint="eastAsia"/>
                <w:highlight w:val="none"/>
                <w:vertAlign w:val="baseline"/>
                <w:lang w:eastAsia="zh-CN"/>
              </w:rPr>
            </w:pPr>
          </w:p>
        </w:tc>
        <w:tc>
          <w:tcPr>
            <w:tcW w:w="2156" w:type="dxa"/>
            <w:vAlign w:val="center"/>
          </w:tcPr>
          <w:p w14:paraId="0279F084">
            <w:pPr>
              <w:jc w:val="center"/>
              <w:rPr>
                <w:rFonts w:hint="eastAsia"/>
                <w:highlight w:val="none"/>
                <w:vertAlign w:val="baseline"/>
                <w:lang w:eastAsia="zh-CN"/>
              </w:rPr>
            </w:pPr>
          </w:p>
        </w:tc>
        <w:tc>
          <w:tcPr>
            <w:tcW w:w="2044" w:type="dxa"/>
            <w:vAlign w:val="center"/>
          </w:tcPr>
          <w:p w14:paraId="0A44EC5C">
            <w:pPr>
              <w:jc w:val="center"/>
              <w:rPr>
                <w:rFonts w:hint="eastAsia"/>
                <w:highlight w:val="none"/>
                <w:vertAlign w:val="baseline"/>
                <w:lang w:eastAsia="zh-CN"/>
              </w:rPr>
            </w:pPr>
          </w:p>
        </w:tc>
      </w:tr>
      <w:tr w14:paraId="1722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20" w:type="dxa"/>
            <w:vAlign w:val="center"/>
          </w:tcPr>
          <w:p w14:paraId="7336B020">
            <w:pPr>
              <w:jc w:val="center"/>
              <w:rPr>
                <w:rFonts w:hint="default"/>
                <w:b w:val="0"/>
                <w:bCs w:val="0"/>
                <w:sz w:val="21"/>
                <w:szCs w:val="21"/>
                <w:highlight w:val="none"/>
                <w:vertAlign w:val="baseline"/>
                <w:lang w:val="en-US" w:eastAsia="zh-CN"/>
              </w:rPr>
            </w:pPr>
            <w:r>
              <w:rPr>
                <w:rFonts w:hint="eastAsia"/>
                <w:b w:val="0"/>
                <w:bCs w:val="0"/>
                <w:sz w:val="21"/>
                <w:szCs w:val="21"/>
                <w:highlight w:val="none"/>
                <w:vertAlign w:val="baseline"/>
                <w:lang w:val="en-US" w:eastAsia="zh-CN"/>
              </w:rPr>
              <w:t>2</w:t>
            </w:r>
          </w:p>
        </w:tc>
        <w:tc>
          <w:tcPr>
            <w:tcW w:w="2912" w:type="dxa"/>
            <w:vAlign w:val="center"/>
          </w:tcPr>
          <w:p w14:paraId="0E342E3A">
            <w:pPr>
              <w:pStyle w:val="70"/>
              <w:keepNext w:val="0"/>
              <w:keepLines w:val="0"/>
              <w:pageBreakBefore w:val="0"/>
              <w:widowControl w:val="0"/>
              <w:kinsoku/>
              <w:wordWrap w:val="0"/>
              <w:overflowPunct/>
              <w:topLinePunct w:val="0"/>
              <w:autoSpaceDE/>
              <w:autoSpaceDN/>
              <w:bidi w:val="0"/>
              <w:spacing w:before="0" w:beforeAutospacing="0" w:after="0" w:afterAutospacing="0" w:line="240" w:lineRule="auto"/>
              <w:textAlignment w:val="auto"/>
              <w:rPr>
                <w:rFonts w:hint="eastAsia" w:eastAsia="宋体"/>
                <w:b w:val="0"/>
                <w:bCs w:val="0"/>
                <w:sz w:val="21"/>
                <w:szCs w:val="21"/>
                <w:highlight w:val="none"/>
                <w:vertAlign w:val="baseline"/>
                <w:lang w:val="en-US" w:eastAsia="zh-CN"/>
              </w:rPr>
            </w:pPr>
            <w:r>
              <w:rPr>
                <w:rFonts w:hint="eastAsia"/>
                <w:b w:val="0"/>
                <w:bCs w:val="0"/>
                <w:sz w:val="21"/>
                <w:szCs w:val="21"/>
                <w:highlight w:val="none"/>
                <w:vertAlign w:val="baseline"/>
                <w:lang w:val="en-US" w:eastAsia="zh-CN"/>
              </w:rPr>
              <w:t>服务期限</w:t>
            </w:r>
          </w:p>
        </w:tc>
        <w:tc>
          <w:tcPr>
            <w:tcW w:w="2285" w:type="dxa"/>
            <w:vAlign w:val="center"/>
          </w:tcPr>
          <w:p w14:paraId="67E4AA16">
            <w:pPr>
              <w:jc w:val="center"/>
              <w:rPr>
                <w:rFonts w:hint="eastAsia"/>
                <w:highlight w:val="none"/>
                <w:vertAlign w:val="baseline"/>
                <w:lang w:eastAsia="zh-CN"/>
              </w:rPr>
            </w:pPr>
          </w:p>
        </w:tc>
        <w:tc>
          <w:tcPr>
            <w:tcW w:w="2156" w:type="dxa"/>
            <w:vAlign w:val="center"/>
          </w:tcPr>
          <w:p w14:paraId="68829593">
            <w:pPr>
              <w:jc w:val="center"/>
              <w:rPr>
                <w:rFonts w:hint="eastAsia"/>
                <w:highlight w:val="none"/>
                <w:vertAlign w:val="baseline"/>
                <w:lang w:eastAsia="zh-CN"/>
              </w:rPr>
            </w:pPr>
          </w:p>
        </w:tc>
        <w:tc>
          <w:tcPr>
            <w:tcW w:w="2044" w:type="dxa"/>
            <w:vAlign w:val="center"/>
          </w:tcPr>
          <w:p w14:paraId="5C2913EE">
            <w:pPr>
              <w:jc w:val="center"/>
              <w:rPr>
                <w:rFonts w:hint="eastAsia"/>
                <w:highlight w:val="none"/>
                <w:vertAlign w:val="baseline"/>
                <w:lang w:eastAsia="zh-CN"/>
              </w:rPr>
            </w:pPr>
          </w:p>
        </w:tc>
      </w:tr>
      <w:tr w14:paraId="7536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20" w:type="dxa"/>
            <w:vAlign w:val="center"/>
          </w:tcPr>
          <w:p w14:paraId="285A8493">
            <w:pPr>
              <w:jc w:val="center"/>
              <w:rPr>
                <w:rFonts w:hint="default"/>
                <w:b w:val="0"/>
                <w:bCs w:val="0"/>
                <w:sz w:val="21"/>
                <w:szCs w:val="21"/>
                <w:highlight w:val="none"/>
                <w:vertAlign w:val="baseline"/>
                <w:lang w:val="en-US" w:eastAsia="zh-CN"/>
              </w:rPr>
            </w:pPr>
            <w:r>
              <w:rPr>
                <w:rFonts w:hint="eastAsia"/>
                <w:b w:val="0"/>
                <w:bCs w:val="0"/>
                <w:sz w:val="21"/>
                <w:szCs w:val="21"/>
                <w:highlight w:val="none"/>
                <w:vertAlign w:val="baseline"/>
                <w:lang w:val="en-US" w:eastAsia="zh-CN"/>
              </w:rPr>
              <w:t>3</w:t>
            </w:r>
          </w:p>
        </w:tc>
        <w:tc>
          <w:tcPr>
            <w:tcW w:w="2912" w:type="dxa"/>
            <w:vAlign w:val="center"/>
          </w:tcPr>
          <w:p w14:paraId="04800D2D">
            <w:pPr>
              <w:pStyle w:val="70"/>
              <w:keepNext w:val="0"/>
              <w:keepLines w:val="0"/>
              <w:pageBreakBefore w:val="0"/>
              <w:widowControl w:val="0"/>
              <w:kinsoku/>
              <w:wordWrap w:val="0"/>
              <w:overflowPunct/>
              <w:topLinePunct w:val="0"/>
              <w:autoSpaceDE/>
              <w:autoSpaceDN/>
              <w:bidi w:val="0"/>
              <w:spacing w:before="0" w:beforeAutospacing="0" w:after="0" w:afterAutospacing="0" w:line="240" w:lineRule="auto"/>
              <w:textAlignment w:val="auto"/>
              <w:rPr>
                <w:rFonts w:hint="eastAsia" w:ascii="Times New Roman" w:hAnsi="Times New Roman" w:eastAsia="宋体" w:cs="Times New Roman"/>
                <w:b w:val="0"/>
                <w:bCs w:val="0"/>
                <w:kern w:val="0"/>
                <w:sz w:val="21"/>
                <w:szCs w:val="21"/>
                <w:highlight w:val="none"/>
                <w:vertAlign w:val="baseline"/>
                <w:lang w:val="en-US" w:eastAsia="zh-CN" w:bidi="ar-SA"/>
              </w:rPr>
            </w:pPr>
            <w:r>
              <w:rPr>
                <w:rFonts w:hint="eastAsia" w:cs="Times New Roman"/>
                <w:b w:val="0"/>
                <w:bCs w:val="0"/>
                <w:kern w:val="0"/>
                <w:sz w:val="21"/>
                <w:szCs w:val="21"/>
                <w:highlight w:val="none"/>
                <w:vertAlign w:val="baseline"/>
                <w:lang w:val="en-US" w:eastAsia="zh-CN" w:bidi="ar-SA"/>
              </w:rPr>
              <w:t>付款方式</w:t>
            </w:r>
          </w:p>
        </w:tc>
        <w:tc>
          <w:tcPr>
            <w:tcW w:w="2285" w:type="dxa"/>
            <w:vAlign w:val="center"/>
          </w:tcPr>
          <w:p w14:paraId="6E9F6A42">
            <w:pPr>
              <w:jc w:val="center"/>
              <w:rPr>
                <w:rFonts w:hint="eastAsia"/>
                <w:highlight w:val="none"/>
                <w:vertAlign w:val="baseline"/>
                <w:lang w:eastAsia="zh-CN"/>
              </w:rPr>
            </w:pPr>
          </w:p>
        </w:tc>
        <w:tc>
          <w:tcPr>
            <w:tcW w:w="2156" w:type="dxa"/>
            <w:vAlign w:val="center"/>
          </w:tcPr>
          <w:p w14:paraId="67C58E96">
            <w:pPr>
              <w:jc w:val="center"/>
              <w:rPr>
                <w:rFonts w:hint="eastAsia"/>
                <w:highlight w:val="none"/>
                <w:vertAlign w:val="baseline"/>
                <w:lang w:eastAsia="zh-CN"/>
              </w:rPr>
            </w:pPr>
          </w:p>
        </w:tc>
        <w:tc>
          <w:tcPr>
            <w:tcW w:w="2044" w:type="dxa"/>
            <w:vAlign w:val="center"/>
          </w:tcPr>
          <w:p w14:paraId="2366BEC1">
            <w:pPr>
              <w:jc w:val="center"/>
              <w:rPr>
                <w:rFonts w:hint="eastAsia"/>
                <w:highlight w:val="none"/>
                <w:vertAlign w:val="baseline"/>
                <w:lang w:eastAsia="zh-CN"/>
              </w:rPr>
            </w:pPr>
          </w:p>
        </w:tc>
      </w:tr>
      <w:tr w14:paraId="30D1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0" w:type="dxa"/>
            <w:vAlign w:val="center"/>
          </w:tcPr>
          <w:p w14:paraId="3D0ED423">
            <w:pPr>
              <w:jc w:val="center"/>
              <w:rPr>
                <w:rFonts w:hint="default"/>
                <w:b w:val="0"/>
                <w:bCs w:val="0"/>
                <w:sz w:val="21"/>
                <w:szCs w:val="21"/>
                <w:highlight w:val="none"/>
                <w:vertAlign w:val="baseline"/>
                <w:lang w:val="en-US" w:eastAsia="zh-CN"/>
              </w:rPr>
            </w:pPr>
            <w:r>
              <w:rPr>
                <w:rFonts w:hint="eastAsia"/>
                <w:b w:val="0"/>
                <w:bCs w:val="0"/>
                <w:sz w:val="21"/>
                <w:szCs w:val="21"/>
                <w:highlight w:val="none"/>
                <w:vertAlign w:val="baseline"/>
                <w:lang w:val="en-US" w:eastAsia="zh-CN"/>
              </w:rPr>
              <w:t>4</w:t>
            </w:r>
          </w:p>
        </w:tc>
        <w:tc>
          <w:tcPr>
            <w:tcW w:w="2912" w:type="dxa"/>
            <w:vAlign w:val="center"/>
          </w:tcPr>
          <w:p w14:paraId="42420CC9">
            <w:pPr>
              <w:pStyle w:val="70"/>
              <w:keepNext w:val="0"/>
              <w:keepLines w:val="0"/>
              <w:pageBreakBefore w:val="0"/>
              <w:widowControl w:val="0"/>
              <w:kinsoku/>
              <w:wordWrap w:val="0"/>
              <w:overflowPunct/>
              <w:topLinePunct w:val="0"/>
              <w:autoSpaceDE/>
              <w:autoSpaceDN/>
              <w:bidi w:val="0"/>
              <w:spacing w:before="0" w:beforeAutospacing="0" w:after="0" w:afterAutospacing="0" w:line="240" w:lineRule="auto"/>
              <w:textAlignment w:val="auto"/>
              <w:rPr>
                <w:rFonts w:hint="eastAsia" w:ascii="Times New Roman" w:hAnsi="Times New Roman" w:eastAsia="宋体" w:cs="Times New Roman"/>
                <w:b w:val="0"/>
                <w:bCs w:val="0"/>
                <w:kern w:val="0"/>
                <w:sz w:val="21"/>
                <w:szCs w:val="21"/>
                <w:highlight w:val="none"/>
                <w:vertAlign w:val="baseline"/>
                <w:lang w:val="en-US" w:eastAsia="zh-CN" w:bidi="ar-SA"/>
              </w:rPr>
            </w:pPr>
            <w:r>
              <w:rPr>
                <w:rFonts w:hint="eastAsia" w:cs="Times New Roman"/>
                <w:b w:val="0"/>
                <w:bCs w:val="0"/>
                <w:kern w:val="0"/>
                <w:sz w:val="21"/>
                <w:szCs w:val="21"/>
                <w:highlight w:val="none"/>
                <w:vertAlign w:val="baseline"/>
                <w:lang w:val="en-US" w:eastAsia="zh-CN" w:bidi="ar-SA"/>
              </w:rPr>
              <w:t>履约保证金</w:t>
            </w:r>
          </w:p>
        </w:tc>
        <w:tc>
          <w:tcPr>
            <w:tcW w:w="2285" w:type="dxa"/>
            <w:vAlign w:val="center"/>
          </w:tcPr>
          <w:p w14:paraId="218D4812">
            <w:pPr>
              <w:jc w:val="center"/>
              <w:rPr>
                <w:rFonts w:hint="eastAsia"/>
                <w:highlight w:val="none"/>
                <w:vertAlign w:val="baseline"/>
                <w:lang w:eastAsia="zh-CN"/>
              </w:rPr>
            </w:pPr>
          </w:p>
        </w:tc>
        <w:tc>
          <w:tcPr>
            <w:tcW w:w="2156" w:type="dxa"/>
            <w:vAlign w:val="center"/>
          </w:tcPr>
          <w:p w14:paraId="45E16D19">
            <w:pPr>
              <w:jc w:val="center"/>
              <w:rPr>
                <w:rFonts w:hint="eastAsia"/>
                <w:highlight w:val="none"/>
                <w:vertAlign w:val="baseline"/>
                <w:lang w:eastAsia="zh-CN"/>
              </w:rPr>
            </w:pPr>
          </w:p>
        </w:tc>
        <w:tc>
          <w:tcPr>
            <w:tcW w:w="2044" w:type="dxa"/>
            <w:vAlign w:val="center"/>
          </w:tcPr>
          <w:p w14:paraId="0F10232B">
            <w:pPr>
              <w:jc w:val="center"/>
              <w:rPr>
                <w:rFonts w:hint="eastAsia"/>
                <w:highlight w:val="none"/>
                <w:vertAlign w:val="baseline"/>
                <w:lang w:eastAsia="zh-CN"/>
              </w:rPr>
            </w:pPr>
          </w:p>
        </w:tc>
      </w:tr>
      <w:tr w14:paraId="2E40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0" w:type="dxa"/>
            <w:vAlign w:val="center"/>
          </w:tcPr>
          <w:p w14:paraId="147367E2">
            <w:pPr>
              <w:jc w:val="center"/>
              <w:rPr>
                <w:rFonts w:hint="default"/>
                <w:highlight w:val="none"/>
                <w:vertAlign w:val="baseline"/>
                <w:lang w:val="en-US" w:eastAsia="zh-CN"/>
              </w:rPr>
            </w:pPr>
            <w:r>
              <w:rPr>
                <w:rFonts w:hint="eastAsia"/>
                <w:highlight w:val="none"/>
                <w:vertAlign w:val="baseline"/>
                <w:lang w:val="en-US" w:eastAsia="zh-CN"/>
              </w:rPr>
              <w:t>5</w:t>
            </w:r>
          </w:p>
        </w:tc>
        <w:tc>
          <w:tcPr>
            <w:tcW w:w="2912" w:type="dxa"/>
            <w:vAlign w:val="center"/>
          </w:tcPr>
          <w:p w14:paraId="331A2E02">
            <w:pPr>
              <w:pStyle w:val="70"/>
              <w:keepNext w:val="0"/>
              <w:keepLines w:val="0"/>
              <w:pageBreakBefore w:val="0"/>
              <w:widowControl w:val="0"/>
              <w:kinsoku/>
              <w:wordWrap w:val="0"/>
              <w:overflowPunct/>
              <w:topLinePunct w:val="0"/>
              <w:autoSpaceDE/>
              <w:autoSpaceDN/>
              <w:bidi w:val="0"/>
              <w:spacing w:before="0" w:beforeAutospacing="0" w:after="0" w:afterAutospacing="0" w:line="240" w:lineRule="auto"/>
              <w:textAlignment w:val="auto"/>
              <w:rPr>
                <w:rFonts w:hint="eastAsia" w:ascii="Times New Roman" w:hAnsi="Times New Roman" w:eastAsia="宋体" w:cs="Times New Roman"/>
                <w:b w:val="0"/>
                <w:bCs w:val="0"/>
                <w:kern w:val="0"/>
                <w:sz w:val="21"/>
                <w:szCs w:val="21"/>
                <w:highlight w:val="none"/>
                <w:vertAlign w:val="baseline"/>
                <w:lang w:val="en-US" w:eastAsia="zh-CN" w:bidi="ar-SA"/>
              </w:rPr>
            </w:pPr>
            <w:r>
              <w:rPr>
                <w:rFonts w:hint="eastAsia" w:cs="Times New Roman"/>
                <w:b w:val="0"/>
                <w:bCs w:val="0"/>
                <w:kern w:val="0"/>
                <w:sz w:val="21"/>
                <w:szCs w:val="21"/>
                <w:highlight w:val="none"/>
                <w:vertAlign w:val="baseline"/>
                <w:lang w:val="en-US" w:eastAsia="zh-CN" w:bidi="ar-SA"/>
              </w:rPr>
              <w:t>免费质保期</w:t>
            </w:r>
          </w:p>
        </w:tc>
        <w:tc>
          <w:tcPr>
            <w:tcW w:w="2285" w:type="dxa"/>
            <w:vAlign w:val="center"/>
          </w:tcPr>
          <w:p w14:paraId="58F049ED">
            <w:pPr>
              <w:jc w:val="center"/>
              <w:rPr>
                <w:rFonts w:hint="eastAsia"/>
                <w:highlight w:val="none"/>
                <w:vertAlign w:val="baseline"/>
                <w:lang w:eastAsia="zh-CN"/>
              </w:rPr>
            </w:pPr>
          </w:p>
        </w:tc>
        <w:tc>
          <w:tcPr>
            <w:tcW w:w="2156" w:type="dxa"/>
            <w:vAlign w:val="center"/>
          </w:tcPr>
          <w:p w14:paraId="444C9CCA">
            <w:pPr>
              <w:jc w:val="center"/>
              <w:rPr>
                <w:rFonts w:hint="eastAsia"/>
                <w:highlight w:val="none"/>
                <w:vertAlign w:val="baseline"/>
                <w:lang w:eastAsia="zh-CN"/>
              </w:rPr>
            </w:pPr>
          </w:p>
        </w:tc>
        <w:tc>
          <w:tcPr>
            <w:tcW w:w="2044" w:type="dxa"/>
            <w:vAlign w:val="center"/>
          </w:tcPr>
          <w:p w14:paraId="230329D9">
            <w:pPr>
              <w:jc w:val="center"/>
              <w:rPr>
                <w:rFonts w:hint="eastAsia"/>
                <w:highlight w:val="none"/>
                <w:vertAlign w:val="baseline"/>
                <w:lang w:eastAsia="zh-CN"/>
              </w:rPr>
            </w:pPr>
          </w:p>
        </w:tc>
      </w:tr>
      <w:tr w14:paraId="1633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0" w:type="dxa"/>
            <w:vAlign w:val="center"/>
          </w:tcPr>
          <w:p w14:paraId="48AF177A">
            <w:pPr>
              <w:jc w:val="center"/>
              <w:rPr>
                <w:rFonts w:hint="default"/>
                <w:highlight w:val="none"/>
                <w:vertAlign w:val="baseline"/>
                <w:lang w:val="en-US" w:eastAsia="zh-CN"/>
              </w:rPr>
            </w:pPr>
            <w:r>
              <w:rPr>
                <w:rFonts w:hint="eastAsia"/>
                <w:highlight w:val="none"/>
                <w:vertAlign w:val="baseline"/>
                <w:lang w:val="en-US" w:eastAsia="zh-CN"/>
              </w:rPr>
              <w:t>6</w:t>
            </w:r>
          </w:p>
        </w:tc>
        <w:tc>
          <w:tcPr>
            <w:tcW w:w="2912" w:type="dxa"/>
            <w:vAlign w:val="center"/>
          </w:tcPr>
          <w:p w14:paraId="1E630016">
            <w:pPr>
              <w:pStyle w:val="70"/>
              <w:keepNext w:val="0"/>
              <w:keepLines w:val="0"/>
              <w:pageBreakBefore w:val="0"/>
              <w:widowControl w:val="0"/>
              <w:kinsoku/>
              <w:wordWrap w:val="0"/>
              <w:overflowPunct/>
              <w:topLinePunct w:val="0"/>
              <w:autoSpaceDE/>
              <w:autoSpaceDN/>
              <w:bidi w:val="0"/>
              <w:spacing w:before="0" w:beforeAutospacing="0" w:after="0" w:afterAutospacing="0" w:line="240" w:lineRule="auto"/>
              <w:textAlignment w:val="auto"/>
              <w:rPr>
                <w:rFonts w:hint="eastAsia" w:ascii="Times New Roman" w:hAnsi="Times New Roman" w:eastAsia="宋体" w:cs="Times New Roman"/>
                <w:b w:val="0"/>
                <w:bCs w:val="0"/>
                <w:kern w:val="0"/>
                <w:sz w:val="21"/>
                <w:szCs w:val="21"/>
                <w:highlight w:val="none"/>
                <w:vertAlign w:val="baseline"/>
                <w:lang w:val="en-US" w:eastAsia="zh-CN" w:bidi="ar-SA"/>
              </w:rPr>
            </w:pPr>
            <w:r>
              <w:rPr>
                <w:rFonts w:hint="eastAsia" w:cs="Times New Roman"/>
                <w:b w:val="0"/>
                <w:bCs w:val="0"/>
                <w:kern w:val="0"/>
                <w:sz w:val="21"/>
                <w:szCs w:val="21"/>
                <w:highlight w:val="none"/>
                <w:vertAlign w:val="baseline"/>
                <w:lang w:val="en-US" w:eastAsia="zh-CN" w:bidi="ar-SA"/>
              </w:rPr>
              <w:t>其他</w:t>
            </w:r>
          </w:p>
        </w:tc>
        <w:tc>
          <w:tcPr>
            <w:tcW w:w="2285" w:type="dxa"/>
            <w:vAlign w:val="center"/>
          </w:tcPr>
          <w:p w14:paraId="433A47E8">
            <w:pPr>
              <w:jc w:val="center"/>
              <w:rPr>
                <w:rFonts w:hint="eastAsia"/>
                <w:highlight w:val="none"/>
                <w:vertAlign w:val="baseline"/>
                <w:lang w:eastAsia="zh-CN"/>
              </w:rPr>
            </w:pPr>
          </w:p>
        </w:tc>
        <w:tc>
          <w:tcPr>
            <w:tcW w:w="2156" w:type="dxa"/>
            <w:vAlign w:val="center"/>
          </w:tcPr>
          <w:p w14:paraId="526B6D31">
            <w:pPr>
              <w:jc w:val="center"/>
              <w:rPr>
                <w:rFonts w:hint="eastAsia"/>
                <w:highlight w:val="none"/>
                <w:vertAlign w:val="baseline"/>
                <w:lang w:eastAsia="zh-CN"/>
              </w:rPr>
            </w:pPr>
          </w:p>
        </w:tc>
        <w:tc>
          <w:tcPr>
            <w:tcW w:w="2044" w:type="dxa"/>
            <w:vAlign w:val="center"/>
          </w:tcPr>
          <w:p w14:paraId="126CD445">
            <w:pPr>
              <w:jc w:val="center"/>
              <w:rPr>
                <w:rFonts w:hint="eastAsia"/>
                <w:highlight w:val="none"/>
                <w:vertAlign w:val="baseline"/>
                <w:lang w:eastAsia="zh-CN"/>
              </w:rPr>
            </w:pPr>
          </w:p>
        </w:tc>
      </w:tr>
      <w:tr w14:paraId="5211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820" w:type="dxa"/>
            <w:vAlign w:val="center"/>
          </w:tcPr>
          <w:p w14:paraId="47261098">
            <w:pPr>
              <w:jc w:val="center"/>
              <w:rPr>
                <w:rFonts w:hint="default"/>
                <w:highlight w:val="none"/>
                <w:vertAlign w:val="baseline"/>
                <w:lang w:val="en-US" w:eastAsia="zh-CN"/>
              </w:rPr>
            </w:pPr>
            <w:r>
              <w:rPr>
                <w:rFonts w:hint="eastAsia"/>
                <w:highlight w:val="none"/>
                <w:vertAlign w:val="baseline"/>
                <w:lang w:val="en-US" w:eastAsia="zh-CN"/>
              </w:rPr>
              <w:t>...</w:t>
            </w:r>
          </w:p>
        </w:tc>
        <w:tc>
          <w:tcPr>
            <w:tcW w:w="2912" w:type="dxa"/>
            <w:vAlign w:val="center"/>
          </w:tcPr>
          <w:p w14:paraId="266E6DF5">
            <w:pPr>
              <w:pStyle w:val="70"/>
              <w:keepNext w:val="0"/>
              <w:keepLines w:val="0"/>
              <w:pageBreakBefore w:val="0"/>
              <w:widowControl w:val="0"/>
              <w:kinsoku/>
              <w:wordWrap w:val="0"/>
              <w:overflowPunct/>
              <w:topLinePunct w:val="0"/>
              <w:autoSpaceDE/>
              <w:autoSpaceDN/>
              <w:bidi w:val="0"/>
              <w:spacing w:before="0" w:beforeAutospacing="0" w:after="0" w:afterAutospacing="0" w:line="240" w:lineRule="auto"/>
              <w:textAlignment w:val="auto"/>
              <w:rPr>
                <w:rFonts w:hint="eastAsia" w:ascii="Times New Roman" w:hAnsi="Times New Roman" w:eastAsia="宋体" w:cs="Times New Roman"/>
                <w:b w:val="0"/>
                <w:bCs w:val="0"/>
                <w:kern w:val="0"/>
                <w:sz w:val="21"/>
                <w:szCs w:val="21"/>
                <w:highlight w:val="none"/>
                <w:vertAlign w:val="baseline"/>
                <w:lang w:val="en-US" w:eastAsia="zh-CN" w:bidi="ar-SA"/>
              </w:rPr>
            </w:pPr>
          </w:p>
        </w:tc>
        <w:tc>
          <w:tcPr>
            <w:tcW w:w="2285" w:type="dxa"/>
            <w:vAlign w:val="center"/>
          </w:tcPr>
          <w:p w14:paraId="2F9A43A2">
            <w:pPr>
              <w:jc w:val="center"/>
              <w:rPr>
                <w:rFonts w:hint="eastAsia"/>
                <w:highlight w:val="none"/>
                <w:vertAlign w:val="baseline"/>
                <w:lang w:eastAsia="zh-CN"/>
              </w:rPr>
            </w:pPr>
          </w:p>
        </w:tc>
        <w:tc>
          <w:tcPr>
            <w:tcW w:w="2156" w:type="dxa"/>
            <w:vAlign w:val="center"/>
          </w:tcPr>
          <w:p w14:paraId="4E7D9F94">
            <w:pPr>
              <w:jc w:val="center"/>
              <w:rPr>
                <w:rFonts w:hint="eastAsia"/>
                <w:highlight w:val="none"/>
                <w:vertAlign w:val="baseline"/>
                <w:lang w:eastAsia="zh-CN"/>
              </w:rPr>
            </w:pPr>
          </w:p>
        </w:tc>
        <w:tc>
          <w:tcPr>
            <w:tcW w:w="2044" w:type="dxa"/>
            <w:vAlign w:val="center"/>
          </w:tcPr>
          <w:p w14:paraId="5284A94C">
            <w:pPr>
              <w:jc w:val="center"/>
              <w:rPr>
                <w:rFonts w:hint="eastAsia"/>
                <w:highlight w:val="none"/>
                <w:vertAlign w:val="baseline"/>
                <w:lang w:eastAsia="zh-CN"/>
              </w:rPr>
            </w:pPr>
          </w:p>
        </w:tc>
      </w:tr>
    </w:tbl>
    <w:p w14:paraId="4E581535">
      <w:pPr>
        <w:rPr>
          <w:rFonts w:hint="eastAsia" w:asciiTheme="minorEastAsia" w:hAnsiTheme="minorEastAsia" w:eastAsiaTheme="minorEastAsia" w:cstheme="minorEastAsia"/>
          <w:b/>
          <w:sz w:val="28"/>
          <w:szCs w:val="28"/>
          <w:highlight w:val="none"/>
          <w:lang w:eastAsia="zh-CN"/>
        </w:rPr>
      </w:pPr>
    </w:p>
    <w:p w14:paraId="222BA896">
      <w:pPr>
        <w:spacing w:line="240" w:lineRule="auto"/>
        <w:ind w:firstLine="6240" w:firstLineChars="2600"/>
        <w:rPr>
          <w:rFonts w:hint="eastAsia"/>
          <w:highlight w:val="none"/>
        </w:rPr>
      </w:pPr>
      <w:r>
        <w:rPr>
          <w:rFonts w:hint="eastAsia" w:ascii="宋体" w:hAnsi="宋体"/>
          <w:sz w:val="24"/>
          <w:szCs w:val="24"/>
          <w:highlight w:val="none"/>
        </w:rPr>
        <w:t xml:space="preserve"> 供应商（</w:t>
      </w:r>
      <w:r>
        <w:rPr>
          <w:rFonts w:hint="eastAsia" w:ascii="宋体" w:hAnsi="宋体"/>
          <w:sz w:val="24"/>
          <w:szCs w:val="24"/>
          <w:highlight w:val="none"/>
          <w:lang w:eastAsia="zh-CN"/>
        </w:rPr>
        <w:t>盖</w:t>
      </w:r>
      <w:r>
        <w:rPr>
          <w:rFonts w:hint="eastAsia" w:ascii="宋体" w:hAnsi="宋体"/>
          <w:sz w:val="24"/>
          <w:szCs w:val="24"/>
          <w:highlight w:val="none"/>
        </w:rPr>
        <w:t>章）</w:t>
      </w:r>
    </w:p>
    <w:p w14:paraId="5C10BCA3">
      <w:pPr>
        <w:snapToGrid w:val="0"/>
        <w:spacing w:beforeLines="100" w:afterLines="100" w:line="240" w:lineRule="auto"/>
        <w:jc w:val="center"/>
        <w:rPr>
          <w:highlight w:val="none"/>
        </w:rPr>
      </w:pPr>
      <w:r>
        <w:rPr>
          <w:rFonts w:hint="eastAsia" w:ascii="宋体" w:hAnsi="宋体"/>
          <w:sz w:val="24"/>
          <w:szCs w:val="24"/>
          <w:highlight w:val="none"/>
        </w:rPr>
        <w:t xml:space="preserve">                                                日期：    年  月  日 </w:t>
      </w:r>
    </w:p>
    <w:p w14:paraId="080EA150">
      <w:pPr>
        <w:rPr>
          <w:rFonts w:hint="eastAsia" w:asciiTheme="minorEastAsia" w:hAnsiTheme="minorEastAsia" w:eastAsiaTheme="minorEastAsia" w:cstheme="minorEastAsia"/>
          <w:b/>
          <w:sz w:val="28"/>
          <w:szCs w:val="28"/>
          <w:highlight w:val="none"/>
          <w:lang w:eastAsia="zh-CN"/>
        </w:rPr>
      </w:pPr>
    </w:p>
    <w:p w14:paraId="3330A462">
      <w:pPr>
        <w:rPr>
          <w:rFonts w:hint="eastAsia" w:asciiTheme="minorEastAsia" w:hAnsiTheme="minorEastAsia" w:eastAsiaTheme="minorEastAsia" w:cstheme="minorEastAsia"/>
          <w:b/>
          <w:sz w:val="28"/>
          <w:szCs w:val="28"/>
          <w:highlight w:val="none"/>
          <w:lang w:eastAsia="zh-CN"/>
        </w:rPr>
      </w:pPr>
      <w:r>
        <w:rPr>
          <w:rFonts w:hint="eastAsia" w:asciiTheme="minorEastAsia" w:hAnsiTheme="minorEastAsia" w:eastAsiaTheme="minorEastAsia" w:cstheme="minorEastAsia"/>
          <w:b/>
          <w:sz w:val="28"/>
          <w:szCs w:val="28"/>
          <w:highlight w:val="none"/>
          <w:lang w:eastAsia="zh-CN"/>
        </w:rPr>
        <w:br w:type="page"/>
      </w:r>
    </w:p>
    <w:p w14:paraId="20D97137">
      <w:pPr>
        <w:numPr>
          <w:ilvl w:val="0"/>
          <w:numId w:val="2"/>
        </w:numPr>
        <w:autoSpaceDE w:val="0"/>
        <w:autoSpaceDN w:val="0"/>
        <w:adjustRightInd w:val="0"/>
        <w:ind w:left="0" w:leftChars="0" w:firstLine="0" w:firstLineChars="0"/>
        <w:jc w:val="center"/>
        <w:outlineLvl w:val="1"/>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诚信承诺书</w:t>
      </w:r>
      <w:bookmarkEnd w:id="126"/>
      <w:bookmarkEnd w:id="127"/>
      <w:bookmarkEnd w:id="128"/>
      <w:bookmarkEnd w:id="129"/>
    </w:p>
    <w:p w14:paraId="409120ED">
      <w:pPr>
        <w:pStyle w:val="27"/>
        <w:rPr>
          <w:highlight w:val="none"/>
        </w:rPr>
      </w:pPr>
    </w:p>
    <w:p w14:paraId="5709C85D">
      <w:pPr>
        <w:autoSpaceDE w:val="0"/>
        <w:autoSpaceDN w:val="0"/>
        <w:adjustRightInd w:val="0"/>
        <w:spacing w:line="360" w:lineRule="auto"/>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我单位参加本次采购活动，郑重承诺如下：</w:t>
      </w:r>
    </w:p>
    <w:p w14:paraId="6ACD8265">
      <w:pPr>
        <w:spacing w:line="360" w:lineRule="auto"/>
        <w:ind w:firstLine="420" w:firstLineChars="200"/>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1、</w:t>
      </w:r>
      <w:r>
        <w:rPr>
          <w:rFonts w:hint="eastAsia" w:asciiTheme="minorEastAsia" w:hAnsiTheme="minorEastAsia" w:eastAsiaTheme="minorEastAsia" w:cstheme="minorEastAsia"/>
          <w:szCs w:val="21"/>
          <w:highlight w:val="none"/>
        </w:rPr>
        <w:t>本次投标提供的所有资料都是真实有效、准确完整。如发现提供虚假资料或与事实不符，同意取消投标和成交人资格。</w:t>
      </w:r>
    </w:p>
    <w:p w14:paraId="57CF335C">
      <w:pPr>
        <w:spacing w:line="360" w:lineRule="auto"/>
        <w:ind w:firstLine="420" w:firstLineChars="200"/>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2、本次投标绝无资质挂靠、串标、围标情形。否则，同意取消投标和成交人资格。</w:t>
      </w:r>
    </w:p>
    <w:p w14:paraId="2F531B86">
      <w:pPr>
        <w:spacing w:line="360" w:lineRule="auto"/>
        <w:ind w:firstLine="420" w:firstLineChars="200"/>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3、本次招标如我方为成交人，除不可抗力外，决不因任何其它原因放弃成交人资</w:t>
      </w:r>
      <w:r>
        <w:rPr>
          <w:rFonts w:hint="eastAsia" w:asciiTheme="minorEastAsia" w:hAnsiTheme="minorEastAsia" w:eastAsiaTheme="minorEastAsia" w:cstheme="minorEastAsia"/>
          <w:szCs w:val="21"/>
          <w:highlight w:val="none"/>
        </w:rPr>
        <w:t>格。</w:t>
      </w:r>
    </w:p>
    <w:p w14:paraId="3E939C52">
      <w:pPr>
        <w:spacing w:line="360" w:lineRule="auto"/>
        <w:ind w:firstLine="420" w:firstLineChars="200"/>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、我方成交后，严格按照</w:t>
      </w:r>
      <w:r>
        <w:rPr>
          <w:rFonts w:hint="eastAsia" w:asciiTheme="minorEastAsia" w:hAnsiTheme="minorEastAsia" w:eastAsiaTheme="minorEastAsia" w:cstheme="minorEastAsia"/>
          <w:szCs w:val="21"/>
          <w:highlight w:val="none"/>
          <w:lang w:eastAsia="zh-CN"/>
        </w:rPr>
        <w:t>磋商</w:t>
      </w:r>
      <w:r>
        <w:rPr>
          <w:rFonts w:hint="eastAsia" w:asciiTheme="minorEastAsia" w:hAnsiTheme="minorEastAsia" w:eastAsiaTheme="minorEastAsia" w:cstheme="minorEastAsia"/>
          <w:szCs w:val="21"/>
          <w:highlight w:val="none"/>
        </w:rPr>
        <w:t>文件和我单位</w:t>
      </w:r>
      <w:r>
        <w:rPr>
          <w:rFonts w:hint="eastAsia" w:asciiTheme="minorEastAsia" w:hAnsiTheme="minorEastAsia" w:eastAsiaTheme="minorEastAsia" w:cstheme="minorEastAsia"/>
          <w:szCs w:val="21"/>
          <w:highlight w:val="none"/>
          <w:lang w:eastAsia="zh-CN"/>
        </w:rPr>
        <w:t>响应文件</w:t>
      </w:r>
      <w:r>
        <w:rPr>
          <w:rFonts w:hint="eastAsia" w:asciiTheme="minorEastAsia" w:hAnsiTheme="minorEastAsia" w:eastAsiaTheme="minorEastAsia" w:cstheme="minorEastAsia"/>
          <w:szCs w:val="21"/>
          <w:highlight w:val="none"/>
        </w:rPr>
        <w:t>的约定签订合同。</w:t>
      </w:r>
    </w:p>
    <w:p w14:paraId="0841485A">
      <w:pPr>
        <w:spacing w:line="360" w:lineRule="auto"/>
        <w:ind w:firstLine="420" w:firstLineChars="200"/>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、我方达不到</w:t>
      </w:r>
      <w:r>
        <w:rPr>
          <w:rFonts w:hint="eastAsia" w:asciiTheme="minorEastAsia" w:hAnsiTheme="minorEastAsia" w:eastAsiaTheme="minorEastAsia" w:cstheme="minorEastAsia"/>
          <w:szCs w:val="21"/>
          <w:highlight w:val="none"/>
          <w:lang w:eastAsia="zh-CN"/>
        </w:rPr>
        <w:t>磋商</w:t>
      </w:r>
      <w:r>
        <w:rPr>
          <w:rFonts w:hint="eastAsia" w:asciiTheme="minorEastAsia" w:hAnsiTheme="minorEastAsia" w:eastAsiaTheme="minorEastAsia" w:cstheme="minorEastAsia"/>
          <w:szCs w:val="21"/>
          <w:highlight w:val="none"/>
        </w:rPr>
        <w:t>公告</w:t>
      </w:r>
      <w:r>
        <w:rPr>
          <w:rFonts w:hint="eastAsia" w:asciiTheme="minorEastAsia" w:hAnsiTheme="minorEastAsia" w:eastAsiaTheme="minorEastAsia" w:cstheme="minorEastAsia"/>
          <w:szCs w:val="21"/>
          <w:highlight w:val="none"/>
          <w:lang w:eastAsia="zh-CN"/>
        </w:rPr>
        <w:t>供应商</w:t>
      </w:r>
      <w:r>
        <w:rPr>
          <w:rFonts w:hint="eastAsia" w:asciiTheme="minorEastAsia" w:hAnsiTheme="minorEastAsia" w:eastAsiaTheme="minorEastAsia" w:cstheme="minorEastAsia"/>
          <w:szCs w:val="21"/>
          <w:highlight w:val="none"/>
        </w:rPr>
        <w:t>资格要求条件参与投标或被行政主管部门、监督管理部门等暂停、取消交易资格且在限制期内参与投标的，同意视为弄虚作假进行处理。</w:t>
      </w:r>
    </w:p>
    <w:p w14:paraId="73996926">
      <w:pPr>
        <w:spacing w:line="360" w:lineRule="auto"/>
        <w:ind w:firstLine="420" w:firstLineChars="200"/>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、我方参加投标决不故意非实质性响应</w:t>
      </w:r>
      <w:r>
        <w:rPr>
          <w:rFonts w:hint="eastAsia" w:asciiTheme="minorEastAsia" w:hAnsiTheme="minorEastAsia" w:eastAsiaTheme="minorEastAsia" w:cstheme="minorEastAsia"/>
          <w:szCs w:val="21"/>
          <w:highlight w:val="none"/>
          <w:lang w:eastAsia="zh-CN"/>
        </w:rPr>
        <w:t>磋商文件</w:t>
      </w:r>
      <w:r>
        <w:rPr>
          <w:rFonts w:hint="eastAsia" w:asciiTheme="minorEastAsia" w:hAnsiTheme="minorEastAsia" w:eastAsiaTheme="minorEastAsia" w:cstheme="minorEastAsia"/>
          <w:szCs w:val="21"/>
          <w:highlight w:val="none"/>
        </w:rPr>
        <w:t>（如投标报价高于或等于该项目最高投标限价等）。否则，同意视为串通投标进行处理。</w:t>
      </w:r>
    </w:p>
    <w:p w14:paraId="0D46B2AC">
      <w:pPr>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7</w:t>
      </w:r>
      <w:r>
        <w:rPr>
          <w:rFonts w:hint="eastAsia" w:asciiTheme="minorEastAsia" w:hAnsiTheme="minorEastAsia" w:eastAsiaTheme="minorEastAsia" w:cstheme="minorEastAsia"/>
          <w:szCs w:val="21"/>
          <w:highlight w:val="none"/>
        </w:rPr>
        <w:t>、我单位承诺</w:t>
      </w:r>
      <w:r>
        <w:rPr>
          <w:rFonts w:hint="eastAsia" w:asciiTheme="minorEastAsia" w:hAnsiTheme="minorEastAsia" w:eastAsiaTheme="minorEastAsia" w:cstheme="minorEastAsia"/>
          <w:szCs w:val="21"/>
          <w:highlight w:val="none"/>
          <w:lang w:eastAsia="zh-CN"/>
        </w:rPr>
        <w:t>不</w:t>
      </w:r>
      <w:r>
        <w:rPr>
          <w:rFonts w:hint="eastAsia" w:asciiTheme="minorEastAsia" w:hAnsiTheme="minorEastAsia" w:eastAsiaTheme="minorEastAsia" w:cstheme="minorEastAsia"/>
          <w:szCs w:val="21"/>
          <w:highlight w:val="none"/>
        </w:rPr>
        <w:t>存在以下不良信用记录情形：</w:t>
      </w:r>
    </w:p>
    <w:p w14:paraId="43582349">
      <w:pPr>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（1）被人民法院列入失信被执行人的；</w:t>
      </w:r>
    </w:p>
    <w:p w14:paraId="220E5DB2">
      <w:pPr>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（2）被工商行政管理部门列入企业经营异常名录的；</w:t>
      </w:r>
    </w:p>
    <w:p w14:paraId="173A53BF">
      <w:pPr>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eastAsia="zh-CN"/>
        </w:rPr>
        <w:t>被税务部门列入重大税收违法失信主体的</w:t>
      </w:r>
      <w:r>
        <w:rPr>
          <w:rFonts w:hint="eastAsia" w:asciiTheme="minorEastAsia" w:hAnsiTheme="minorEastAsia" w:eastAsiaTheme="minorEastAsia" w:cstheme="minorEastAsia"/>
          <w:szCs w:val="21"/>
          <w:highlight w:val="none"/>
        </w:rPr>
        <w:t>；</w:t>
      </w:r>
    </w:p>
    <w:p w14:paraId="20D5DE18">
      <w:pPr>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）近五年内被国家工信部或国家网信办或安徽省政府采购网通报涉及在线学习违法违规行为或投标违规行为记录的；</w:t>
      </w:r>
    </w:p>
    <w:p w14:paraId="264E3C0A">
      <w:pPr>
        <w:widowControl/>
        <w:shd w:val="clear" w:color="auto" w:fill="FFFFFF"/>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出现违反上述承诺情形之一的，我方同意公开披露我单位违反承诺的不良行为信息，愿意接受处罚并承担所有经济损失和法律责任。</w:t>
      </w:r>
    </w:p>
    <w:p w14:paraId="3DB822AE">
      <w:pPr>
        <w:pStyle w:val="45"/>
        <w:spacing w:line="500" w:lineRule="exact"/>
        <w:ind w:right="420" w:firstLine="5285" w:firstLineChars="2507"/>
        <w:jc w:val="both"/>
        <w:rPr>
          <w:rFonts w:asciiTheme="minorEastAsia" w:hAnsiTheme="minorEastAsia" w:eastAsiaTheme="minorEastAsia" w:cstheme="minorEastAsia"/>
          <w:kern w:val="2"/>
          <w:sz w:val="21"/>
          <w:szCs w:val="21"/>
          <w:highlight w:val="none"/>
        </w:rPr>
      </w:pPr>
    </w:p>
    <w:p w14:paraId="64E69F9C">
      <w:pPr>
        <w:pStyle w:val="45"/>
        <w:spacing w:line="500" w:lineRule="exact"/>
        <w:ind w:right="420" w:firstLine="5285" w:firstLineChars="2507"/>
        <w:jc w:val="both"/>
        <w:rPr>
          <w:rFonts w:asciiTheme="minorEastAsia" w:hAnsiTheme="minorEastAsia" w:eastAsiaTheme="minorEastAsia" w:cstheme="minorEastAsia"/>
          <w:kern w:val="2"/>
          <w:sz w:val="21"/>
          <w:szCs w:val="21"/>
          <w:highlight w:val="none"/>
        </w:rPr>
      </w:pPr>
    </w:p>
    <w:p w14:paraId="5B237507">
      <w:pPr>
        <w:pStyle w:val="45"/>
        <w:spacing w:line="500" w:lineRule="exact"/>
        <w:ind w:right="420" w:firstLine="5285" w:firstLineChars="2507"/>
        <w:jc w:val="both"/>
        <w:rPr>
          <w:rFonts w:asciiTheme="minorEastAsia" w:hAnsiTheme="minorEastAsia" w:eastAsiaTheme="minorEastAsia" w:cstheme="minorEastAsia"/>
          <w:kern w:val="2"/>
          <w:sz w:val="21"/>
          <w:szCs w:val="21"/>
          <w:highlight w:val="none"/>
        </w:rPr>
      </w:pPr>
    </w:p>
    <w:p w14:paraId="0C47C843">
      <w:pPr>
        <w:pStyle w:val="45"/>
        <w:spacing w:line="500" w:lineRule="exact"/>
        <w:ind w:right="420" w:firstLine="5264" w:firstLineChars="2507"/>
        <w:jc w:val="both"/>
        <w:rPr>
          <w:rFonts w:asciiTheme="minorEastAsia" w:hAnsiTheme="minorEastAsia" w:eastAsiaTheme="minorEastAsia" w:cstheme="minorEastAsia"/>
          <w:b w:val="0"/>
          <w:bCs w:val="0"/>
          <w:kern w:val="2"/>
          <w:sz w:val="21"/>
          <w:szCs w:val="21"/>
          <w:highlight w:val="none"/>
        </w:rPr>
      </w:pPr>
      <w:r>
        <w:rPr>
          <w:rFonts w:hint="eastAsia" w:asciiTheme="minorEastAsia" w:hAnsiTheme="minorEastAsia" w:eastAsiaTheme="minorEastAsia" w:cstheme="minorEastAsia"/>
          <w:b w:val="0"/>
          <w:bCs w:val="0"/>
          <w:kern w:val="2"/>
          <w:sz w:val="21"/>
          <w:szCs w:val="21"/>
          <w:highlight w:val="none"/>
        </w:rPr>
        <w:t>供应商：</w:t>
      </w:r>
      <w:r>
        <w:rPr>
          <w:rFonts w:hint="eastAsia" w:asciiTheme="minorEastAsia" w:hAnsiTheme="minorEastAsia" w:eastAsiaTheme="minorEastAsia" w:cstheme="minorEastAsia"/>
          <w:b w:val="0"/>
          <w:bCs w:val="0"/>
          <w:kern w:val="2"/>
          <w:sz w:val="21"/>
          <w:szCs w:val="21"/>
          <w:highlight w:val="none"/>
          <w:lang w:val="en-US" w:eastAsia="zh-CN"/>
        </w:rPr>
        <w:t xml:space="preserve">     </w:t>
      </w:r>
      <w:r>
        <w:rPr>
          <w:rFonts w:hint="eastAsia" w:asciiTheme="minorEastAsia" w:hAnsiTheme="minorEastAsia" w:eastAsiaTheme="minorEastAsia" w:cstheme="minorEastAsia"/>
          <w:b w:val="0"/>
          <w:bCs w:val="0"/>
          <w:kern w:val="2"/>
          <w:sz w:val="21"/>
          <w:szCs w:val="21"/>
          <w:highlight w:val="none"/>
        </w:rPr>
        <w:t>（盖单位公章）</w:t>
      </w:r>
    </w:p>
    <w:p w14:paraId="60B43C0E">
      <w:pPr>
        <w:autoSpaceDE w:val="0"/>
        <w:autoSpaceDN w:val="0"/>
        <w:adjustRightInd w:val="0"/>
        <w:spacing w:line="500" w:lineRule="exact"/>
        <w:ind w:right="420" w:firstLine="3360" w:firstLineChars="16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法定代表人或其委托代理人：</w:t>
      </w:r>
      <w:r>
        <w:rPr>
          <w:rFonts w:hint="eastAsia" w:asciiTheme="minorEastAsia" w:hAnsiTheme="minorEastAsia" w:eastAsiaTheme="minorEastAsia" w:cstheme="minorEastAsia"/>
          <w:szCs w:val="21"/>
          <w:highlight w:val="none"/>
          <w:lang w:val="en-US" w:eastAsia="zh-CN"/>
        </w:rPr>
        <w:t xml:space="preserve">      </w:t>
      </w:r>
      <w:r>
        <w:rPr>
          <w:rFonts w:hint="eastAsia" w:asciiTheme="minorEastAsia" w:hAnsiTheme="minorEastAsia" w:eastAsiaTheme="minorEastAsia" w:cstheme="minorEastAsia"/>
          <w:szCs w:val="21"/>
          <w:highlight w:val="none"/>
        </w:rPr>
        <w:t>（签字或盖章）</w:t>
      </w:r>
    </w:p>
    <w:p w14:paraId="07638B5C">
      <w:pPr>
        <w:autoSpaceDE w:val="0"/>
        <w:autoSpaceDN w:val="0"/>
        <w:adjustRightInd w:val="0"/>
        <w:spacing w:line="500" w:lineRule="exact"/>
        <w:ind w:right="420" w:firstLine="5985" w:firstLineChars="2850"/>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szCs w:val="21"/>
          <w:highlight w:val="none"/>
        </w:rPr>
        <w:t>年    月    日</w:t>
      </w:r>
    </w:p>
    <w:p w14:paraId="52B7D38B">
      <w:pPr>
        <w:spacing w:line="240" w:lineRule="atLeast"/>
        <w:rPr>
          <w:rFonts w:asciiTheme="minorEastAsia" w:hAnsiTheme="minorEastAsia" w:eastAsiaTheme="minorEastAsia" w:cstheme="minorEastAsia"/>
          <w:b/>
          <w:kern w:val="0"/>
          <w:sz w:val="28"/>
          <w:szCs w:val="28"/>
          <w:highlight w:val="none"/>
        </w:rPr>
      </w:pPr>
      <w:bookmarkStart w:id="132" w:name="_Toc487790678"/>
      <w:bookmarkStart w:id="133" w:name="_Toc19712_WPSOffice_Level2"/>
      <w:bookmarkStart w:id="134" w:name="_Toc8344_WPSOffice_Level2"/>
    </w:p>
    <w:p w14:paraId="4FF2890E">
      <w:pPr>
        <w:pStyle w:val="21"/>
        <w:ind w:left="0" w:leftChars="0" w:firstLine="0" w:firstLineChars="0"/>
        <w:rPr>
          <w:highlight w:val="none"/>
        </w:rPr>
      </w:pPr>
    </w:p>
    <w:p w14:paraId="4163B7A6">
      <w:pPr>
        <w:wordWrap w:val="0"/>
        <w:spacing w:before="160" w:after="160" w:line="415" w:lineRule="auto"/>
        <w:jc w:val="center"/>
        <w:outlineLvl w:val="1"/>
        <w:rPr>
          <w:rFonts w:ascii="宋体" w:hAnsi="宋体"/>
          <w:b/>
          <w:sz w:val="28"/>
          <w:szCs w:val="28"/>
          <w:highlight w:val="none"/>
        </w:rPr>
      </w:pPr>
      <w:r>
        <w:rPr>
          <w:rFonts w:hint="eastAsia" w:ascii="宋体" w:hAnsi="宋体"/>
          <w:b/>
          <w:sz w:val="28"/>
          <w:szCs w:val="28"/>
          <w:highlight w:val="none"/>
          <w:lang w:eastAsia="zh-CN"/>
        </w:rPr>
        <w:t>四</w:t>
      </w:r>
      <w:r>
        <w:rPr>
          <w:rFonts w:hint="eastAsia" w:ascii="宋体" w:hAnsi="宋体"/>
          <w:b/>
          <w:sz w:val="28"/>
          <w:szCs w:val="28"/>
          <w:highlight w:val="none"/>
        </w:rPr>
        <w:t>、法定代表人身份证明</w:t>
      </w:r>
    </w:p>
    <w:p w14:paraId="7C93755B">
      <w:pPr>
        <w:spacing w:line="200" w:lineRule="exact"/>
        <w:rPr>
          <w:rFonts w:eastAsia="Times New Roman"/>
          <w:highlight w:val="none"/>
        </w:rPr>
      </w:pPr>
    </w:p>
    <w:p w14:paraId="535D41A4">
      <w:pPr>
        <w:spacing w:line="200" w:lineRule="exact"/>
        <w:rPr>
          <w:rFonts w:eastAsia="Times New Roman"/>
          <w:highlight w:val="none"/>
        </w:rPr>
      </w:pPr>
    </w:p>
    <w:p w14:paraId="4C64F4AE">
      <w:pPr>
        <w:spacing w:line="200" w:lineRule="exact"/>
        <w:rPr>
          <w:highlight w:val="none"/>
        </w:rPr>
      </w:pPr>
    </w:p>
    <w:p w14:paraId="41D236B5">
      <w:pPr>
        <w:pStyle w:val="27"/>
        <w:ind w:left="0" w:firstLine="0" w:firstLineChars="0"/>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供应商名称：</w:t>
      </w:r>
    </w:p>
    <w:p w14:paraId="3594167D">
      <w:pPr>
        <w:pStyle w:val="27"/>
        <w:ind w:firstLine="480"/>
        <w:rPr>
          <w:rFonts w:asciiTheme="minorEastAsia" w:hAnsiTheme="minorEastAsia" w:eastAsiaTheme="minorEastAsia" w:cstheme="minorEastAsia"/>
          <w:sz w:val="24"/>
          <w:szCs w:val="24"/>
          <w:highlight w:val="none"/>
        </w:rPr>
      </w:pPr>
    </w:p>
    <w:p w14:paraId="60911FAB">
      <w:pPr>
        <w:pStyle w:val="27"/>
        <w:ind w:left="0" w:firstLine="0" w:firstLineChars="0"/>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姓名：性别：年龄： 职务：</w:t>
      </w:r>
    </w:p>
    <w:p w14:paraId="3351B6F5">
      <w:pPr>
        <w:pStyle w:val="27"/>
        <w:ind w:firstLine="480"/>
        <w:rPr>
          <w:rFonts w:asciiTheme="minorEastAsia" w:hAnsiTheme="minorEastAsia" w:eastAsiaTheme="minorEastAsia" w:cstheme="minorEastAsia"/>
          <w:sz w:val="24"/>
          <w:szCs w:val="24"/>
          <w:highlight w:val="none"/>
        </w:rPr>
      </w:pPr>
    </w:p>
    <w:p w14:paraId="0F1A5584">
      <w:pPr>
        <w:pStyle w:val="27"/>
        <w:ind w:left="0" w:firstLine="0" w:firstLineChars="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系（供应商名称）的法定代表人。</w:t>
      </w:r>
    </w:p>
    <w:p w14:paraId="490E50A3">
      <w:pPr>
        <w:pStyle w:val="27"/>
        <w:ind w:firstLine="480"/>
        <w:rPr>
          <w:rFonts w:asciiTheme="minorEastAsia" w:hAnsiTheme="minorEastAsia" w:eastAsiaTheme="minorEastAsia" w:cstheme="minorEastAsia"/>
          <w:sz w:val="24"/>
          <w:szCs w:val="24"/>
          <w:highlight w:val="none"/>
        </w:rPr>
      </w:pPr>
    </w:p>
    <w:p w14:paraId="6EACAC03">
      <w:pPr>
        <w:pStyle w:val="27"/>
        <w:ind w:left="0" w:firstLine="0" w:firstLineChars="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特此证明。</w:t>
      </w:r>
    </w:p>
    <w:p w14:paraId="7472185D">
      <w:pPr>
        <w:spacing w:line="200" w:lineRule="exact"/>
        <w:rPr>
          <w:rFonts w:asciiTheme="minorEastAsia" w:hAnsiTheme="minorEastAsia" w:eastAsiaTheme="minorEastAsia" w:cstheme="minorEastAsia"/>
          <w:sz w:val="24"/>
          <w:szCs w:val="24"/>
          <w:highlight w:val="none"/>
        </w:rPr>
      </w:pPr>
    </w:p>
    <w:p w14:paraId="13F7E516">
      <w:pPr>
        <w:spacing w:line="200" w:lineRule="exact"/>
        <w:rPr>
          <w:rFonts w:asciiTheme="minorEastAsia" w:hAnsiTheme="minorEastAsia" w:eastAsiaTheme="minorEastAsia" w:cstheme="minorEastAsia"/>
          <w:sz w:val="24"/>
          <w:szCs w:val="24"/>
          <w:highlight w:val="none"/>
        </w:rPr>
      </w:pPr>
    </w:p>
    <w:p w14:paraId="3B7D9499">
      <w:pPr>
        <w:spacing w:line="224" w:lineRule="exact"/>
        <w:rPr>
          <w:rFonts w:asciiTheme="minorEastAsia" w:hAnsiTheme="minorEastAsia" w:eastAsiaTheme="minorEastAsia" w:cstheme="minorEastAsia"/>
          <w:sz w:val="24"/>
          <w:szCs w:val="24"/>
          <w:highlight w:val="none"/>
        </w:rPr>
      </w:pPr>
    </w:p>
    <w:p w14:paraId="4C970960">
      <w:pPr>
        <w:spacing w:line="241" w:lineRule="exact"/>
        <w:rPr>
          <w:rFonts w:asciiTheme="minorEastAsia" w:hAnsiTheme="minorEastAsia" w:eastAsiaTheme="minorEastAsia" w:cstheme="minorEastAsia"/>
          <w:sz w:val="24"/>
          <w:szCs w:val="24"/>
          <w:highlight w:val="none"/>
        </w:rPr>
      </w:pPr>
    </w:p>
    <w:p w14:paraId="11AF0E0E">
      <w:pPr>
        <w:spacing w:line="239" w:lineRule="auto"/>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附：法定代表人身份证复印件。</w:t>
      </w:r>
    </w:p>
    <w:p w14:paraId="5D27CF51">
      <w:pPr>
        <w:spacing w:line="200" w:lineRule="exact"/>
        <w:rPr>
          <w:rFonts w:asciiTheme="minorEastAsia" w:hAnsiTheme="minorEastAsia" w:eastAsiaTheme="minorEastAsia" w:cstheme="minorEastAsia"/>
          <w:sz w:val="24"/>
          <w:szCs w:val="24"/>
          <w:highlight w:val="none"/>
        </w:rPr>
      </w:pPr>
    </w:p>
    <w:p w14:paraId="30649ACB">
      <w:pPr>
        <w:spacing w:line="200" w:lineRule="exact"/>
        <w:rPr>
          <w:rFonts w:asciiTheme="minorEastAsia" w:hAnsiTheme="minorEastAsia" w:eastAsiaTheme="minorEastAsia" w:cstheme="minorEastAsia"/>
          <w:sz w:val="24"/>
          <w:szCs w:val="24"/>
          <w:highlight w:val="none"/>
        </w:rPr>
      </w:pPr>
    </w:p>
    <w:p w14:paraId="5675E554">
      <w:pPr>
        <w:pStyle w:val="27"/>
        <w:ind w:firstLine="640"/>
        <w:rPr>
          <w:highlight w:val="none"/>
        </w:rPr>
      </w:pPr>
    </w:p>
    <w:p w14:paraId="02017DDA">
      <w:pPr>
        <w:spacing w:line="240" w:lineRule="exact"/>
        <w:rPr>
          <w:rFonts w:asciiTheme="minorEastAsia" w:hAnsiTheme="minorEastAsia" w:eastAsiaTheme="minorEastAsia" w:cstheme="minorEastAsia"/>
          <w:sz w:val="24"/>
          <w:szCs w:val="24"/>
          <w:highlight w:val="none"/>
        </w:rPr>
      </w:pPr>
    </w:p>
    <w:p w14:paraId="25A5351E">
      <w:pPr>
        <w:pStyle w:val="27"/>
        <w:ind w:firstLine="640"/>
        <w:rPr>
          <w:highlight w:val="none"/>
        </w:rPr>
      </w:pPr>
    </w:p>
    <w:p w14:paraId="3EFB2820">
      <w:pPr>
        <w:pStyle w:val="27"/>
        <w:ind w:firstLine="640"/>
        <w:rPr>
          <w:highlight w:val="none"/>
        </w:rPr>
      </w:pPr>
    </w:p>
    <w:p w14:paraId="1AE64683">
      <w:pPr>
        <w:spacing w:line="239" w:lineRule="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注：本身份证明需由供应商加盖单位公章。</w:t>
      </w:r>
    </w:p>
    <w:p w14:paraId="4B3F2ED1">
      <w:pPr>
        <w:spacing w:line="200" w:lineRule="exact"/>
        <w:rPr>
          <w:rFonts w:asciiTheme="minorEastAsia" w:hAnsiTheme="minorEastAsia" w:eastAsiaTheme="minorEastAsia" w:cstheme="minorEastAsia"/>
          <w:sz w:val="24"/>
          <w:szCs w:val="24"/>
          <w:highlight w:val="none"/>
        </w:rPr>
      </w:pPr>
    </w:p>
    <w:p w14:paraId="29C05D3B">
      <w:pPr>
        <w:spacing w:line="200" w:lineRule="exact"/>
        <w:rPr>
          <w:rFonts w:asciiTheme="minorEastAsia" w:hAnsiTheme="minorEastAsia" w:eastAsiaTheme="minorEastAsia" w:cstheme="minorEastAsia"/>
          <w:sz w:val="24"/>
          <w:szCs w:val="24"/>
          <w:highlight w:val="none"/>
        </w:rPr>
      </w:pPr>
    </w:p>
    <w:p w14:paraId="66DEB340">
      <w:pPr>
        <w:spacing w:line="200" w:lineRule="exact"/>
        <w:rPr>
          <w:rFonts w:asciiTheme="minorEastAsia" w:hAnsiTheme="minorEastAsia" w:eastAsiaTheme="minorEastAsia" w:cstheme="minorEastAsia"/>
          <w:sz w:val="24"/>
          <w:szCs w:val="24"/>
          <w:highlight w:val="none"/>
        </w:rPr>
      </w:pPr>
    </w:p>
    <w:p w14:paraId="17469C94">
      <w:pPr>
        <w:spacing w:line="200" w:lineRule="exact"/>
        <w:rPr>
          <w:rFonts w:asciiTheme="minorEastAsia" w:hAnsiTheme="minorEastAsia" w:eastAsiaTheme="minorEastAsia" w:cstheme="minorEastAsia"/>
          <w:sz w:val="24"/>
          <w:szCs w:val="24"/>
          <w:highlight w:val="none"/>
        </w:rPr>
      </w:pPr>
    </w:p>
    <w:p w14:paraId="6874E2FD">
      <w:pPr>
        <w:spacing w:line="282" w:lineRule="exact"/>
        <w:rPr>
          <w:rFonts w:asciiTheme="minorEastAsia" w:hAnsiTheme="minorEastAsia" w:eastAsiaTheme="minorEastAsia" w:cstheme="minorEastAsia"/>
          <w:sz w:val="24"/>
          <w:szCs w:val="24"/>
          <w:highlight w:val="none"/>
        </w:rPr>
      </w:pPr>
    </w:p>
    <w:p w14:paraId="06FF2FE4">
      <w:pPr>
        <w:tabs>
          <w:tab w:val="left" w:pos="6400"/>
        </w:tabs>
        <w:spacing w:line="239" w:lineRule="auto"/>
        <w:ind w:firstLine="4080" w:firstLineChars="17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 xml:space="preserve">   （单位公章）</w:t>
      </w:r>
    </w:p>
    <w:p w14:paraId="365ABFD1">
      <w:pPr>
        <w:spacing w:line="200" w:lineRule="exact"/>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mc:AlternateContent>
          <mc:Choice Requires="wps">
            <w:drawing>
              <wp:anchor distT="0" distB="0" distL="114300" distR="114300" simplePos="0" relativeHeight="251660288" behindDoc="1" locked="0" layoutInCell="0" allowOverlap="1">
                <wp:simplePos x="0" y="0"/>
                <wp:positionH relativeFrom="column">
                  <wp:posOffset>3144520</wp:posOffset>
                </wp:positionH>
                <wp:positionV relativeFrom="paragraph">
                  <wp:posOffset>635</wp:posOffset>
                </wp:positionV>
                <wp:extent cx="93281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932815" cy="0"/>
                        </a:xfrm>
                        <a:prstGeom prst="line">
                          <a:avLst/>
                        </a:prstGeom>
                        <a:ln w="6096"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47.6pt;margin-top:0.05pt;height:0pt;width:73.45pt;z-index:-251656192;mso-width-relative:page;mso-height-relative:page;" filled="f" stroked="t" coordsize="21600,21600" o:allowincell="f" o:gfxdata="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HwBrzUAAAABQEAAA8AAAAAAAAAAQAgAAAAIgAAAGRycy9kb3ducmV2LnhtbFBLAQIUABQAAAAI&#10;AIdO4kCTXUAr8QEAAOUDAAAOAAAAAAAAAAEAIAAAACMBAABkcnMvZTJvRG9jLnhtbFBLBQYAAAAA&#10;BgAGAFkBAACGBQAAAAA=&#10;">
                <v:fill on="f" focussize="0,0"/>
                <v:stroke weight="0.48pt" color="#000000" joinstyle="round"/>
                <v:imagedata o:title=""/>
                <o:lock v:ext="edit" aspectratio="f"/>
              </v:line>
            </w:pict>
          </mc:Fallback>
        </mc:AlternateContent>
      </w:r>
    </w:p>
    <w:p w14:paraId="1ACB1242">
      <w:pPr>
        <w:spacing w:line="200" w:lineRule="exact"/>
        <w:rPr>
          <w:rFonts w:asciiTheme="minorEastAsia" w:hAnsiTheme="minorEastAsia" w:eastAsiaTheme="minorEastAsia" w:cstheme="minorEastAsia"/>
          <w:sz w:val="24"/>
          <w:szCs w:val="24"/>
          <w:highlight w:val="none"/>
        </w:rPr>
      </w:pPr>
    </w:p>
    <w:p w14:paraId="47EA5985">
      <w:pPr>
        <w:spacing w:line="242" w:lineRule="exact"/>
        <w:rPr>
          <w:rFonts w:asciiTheme="minorEastAsia" w:hAnsiTheme="minorEastAsia" w:eastAsiaTheme="minorEastAsia" w:cstheme="minorEastAsia"/>
          <w:sz w:val="24"/>
          <w:szCs w:val="24"/>
          <w:highlight w:val="none"/>
        </w:rPr>
      </w:pPr>
    </w:p>
    <w:p w14:paraId="60EBC02A">
      <w:pPr>
        <w:tabs>
          <w:tab w:val="left" w:pos="6080"/>
          <w:tab w:val="left" w:pos="6920"/>
        </w:tabs>
        <w:spacing w:line="240" w:lineRule="atLeast"/>
        <w:ind w:left="526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日</w:t>
      </w:r>
    </w:p>
    <w:p w14:paraId="138847FF">
      <w:pPr>
        <w:spacing w:line="200" w:lineRule="exact"/>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mc:AlternateContent>
          <mc:Choice Requires="wps">
            <w:drawing>
              <wp:anchor distT="0" distB="0" distL="114300" distR="114300" simplePos="0" relativeHeight="251661312" behindDoc="1" locked="0" layoutInCell="0" allowOverlap="1">
                <wp:simplePos x="0" y="0"/>
                <wp:positionH relativeFrom="column">
                  <wp:posOffset>2933700</wp:posOffset>
                </wp:positionH>
                <wp:positionV relativeFrom="paragraph">
                  <wp:posOffset>0</wp:posOffset>
                </wp:positionV>
                <wp:extent cx="40132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401320" cy="0"/>
                        </a:xfrm>
                        <a:prstGeom prst="line">
                          <a:avLst/>
                        </a:prstGeom>
                        <a:ln w="6096"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1pt;margin-top:0pt;height:0pt;width:31.6pt;z-index:-251655168;mso-width-relative:page;mso-height-relative:page;" filled="f" stroked="t" coordsize="21600,21600" o:allowincell="f" o:gfxdata="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eyxe01gAAAAUBAAAPAAAAAAAAAAEAIAAAACIAAABkcnMvZG93bnJldi54bWxQSwECFAAUAAAA&#10;CACHTuJAThkkhvABAADlAwAADgAAAAAAAAABACAAAAAlAQAAZHJzL2Uyb0RvYy54bWxQSwUGAAAA&#10;AAYABgBZAQAAhwUAAAAA&#10;">
                <v:fill on="f" focussize="0,0"/>
                <v:stroke weight="0.48pt" color="#000000" joinstyle="round"/>
                <v:imagedata o:title=""/>
                <o:lock v:ext="edit" aspectratio="f"/>
              </v:line>
            </w:pict>
          </mc:Fallback>
        </mc:AlternateContent>
      </w:r>
      <w:r>
        <w:rPr>
          <w:rFonts w:asciiTheme="minorEastAsia" w:hAnsiTheme="minorEastAsia" w:eastAsiaTheme="minorEastAsia" w:cstheme="minorEastAsia"/>
          <w:sz w:val="24"/>
          <w:szCs w:val="24"/>
          <w:highlight w:val="none"/>
        </w:rPr>
        <mc:AlternateContent>
          <mc:Choice Requires="wps">
            <w:drawing>
              <wp:anchor distT="0" distB="0" distL="114300" distR="114300" simplePos="0" relativeHeight="251662336" behindDoc="1" locked="0" layoutInCell="0" allowOverlap="1">
                <wp:simplePos x="0" y="0"/>
                <wp:positionH relativeFrom="column">
                  <wp:posOffset>3469005</wp:posOffset>
                </wp:positionH>
                <wp:positionV relativeFrom="paragraph">
                  <wp:posOffset>0</wp:posOffset>
                </wp:positionV>
                <wp:extent cx="39941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399415" cy="0"/>
                        </a:xfrm>
                        <a:prstGeom prst="line">
                          <a:avLst/>
                        </a:prstGeom>
                        <a:ln w="6096"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73.15pt;margin-top:0pt;height:0pt;width:31.45pt;z-index:-251654144;mso-width-relative:page;mso-height-relative:page;" filled="f" stroked="t" coordsize="21600,21600" o:allowincell="f" o:gfxdata="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FGffbVAAAABQEAAA8AAAAAAAAAAQAgAAAAIgAAAGRycy9kb3ducmV2LnhtbFBLAQIUABQAAAAI&#10;AIdO4kBDq/LS8AEAAOUDAAAOAAAAAAAAAAEAIAAAACQBAABkcnMvZTJvRG9jLnhtbFBLBQYAAAAA&#10;BgAGAFkBAACGBQAAAAA=&#10;">
                <v:fill on="f" focussize="0,0"/>
                <v:stroke weight="0.48pt" color="#000000" joinstyle="round"/>
                <v:imagedata o:title=""/>
                <o:lock v:ext="edit" aspectratio="f"/>
              </v:line>
            </w:pict>
          </mc:Fallback>
        </mc:AlternateContent>
      </w:r>
      <w:r>
        <w:rPr>
          <w:rFonts w:asciiTheme="minorEastAsia" w:hAnsiTheme="minorEastAsia" w:eastAsiaTheme="minorEastAsia" w:cstheme="minorEastAsia"/>
          <w:sz w:val="24"/>
          <w:szCs w:val="24"/>
          <w:highlight w:val="none"/>
        </w:rPr>
        <mc:AlternateContent>
          <mc:Choice Requires="wps">
            <w:drawing>
              <wp:anchor distT="0" distB="0" distL="114300" distR="114300" simplePos="0" relativeHeight="251663360" behindDoc="1" locked="0" layoutInCell="0" allowOverlap="1">
                <wp:simplePos x="0" y="0"/>
                <wp:positionH relativeFrom="column">
                  <wp:posOffset>4002405</wp:posOffset>
                </wp:positionH>
                <wp:positionV relativeFrom="paragraph">
                  <wp:posOffset>0</wp:posOffset>
                </wp:positionV>
                <wp:extent cx="39941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399415" cy="0"/>
                        </a:xfrm>
                        <a:prstGeom prst="line">
                          <a:avLst/>
                        </a:prstGeom>
                        <a:ln w="6096"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15pt;margin-top:0pt;height:0pt;width:31.45pt;z-index:-251653120;mso-width-relative:page;mso-height-relative:page;" filled="f" stroked="t" coordsize="21600,21600" o:allowincell="f" o:gfxdata="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DYgf1QAAAAUBAAAPAAAAAAAAAAEAIAAAACIAAABkcnMvZG93bnJldi54bWxQSwECFAAUAAAA&#10;CACHTuJAzXKRHfEBAADlAwAADgAAAAAAAAABACAAAAAkAQAAZHJzL2Uyb0RvYy54bWxQSwUGAAAA&#10;AAYABgBZAQAAhwUAAAAA&#10;">
                <v:fill on="f" focussize="0,0"/>
                <v:stroke weight="0.48pt" color="#000000" joinstyle="round"/>
                <v:imagedata o:title=""/>
                <o:lock v:ext="edit" aspectratio="f"/>
              </v:line>
            </w:pict>
          </mc:Fallback>
        </mc:AlternateContent>
      </w:r>
    </w:p>
    <w:p w14:paraId="20E67806">
      <w:pPr>
        <w:spacing w:line="200" w:lineRule="exact"/>
        <w:rPr>
          <w:rFonts w:eastAsia="Times New Roman"/>
          <w:sz w:val="24"/>
          <w:szCs w:val="24"/>
          <w:highlight w:val="none"/>
        </w:rPr>
      </w:pPr>
    </w:p>
    <w:p w14:paraId="608D685A">
      <w:pPr>
        <w:spacing w:line="1" w:lineRule="exact"/>
        <w:rPr>
          <w:rFonts w:eastAsia="Times New Roman"/>
          <w:highlight w:val="none"/>
        </w:rPr>
      </w:pPr>
    </w:p>
    <w:p w14:paraId="0DBA7B13">
      <w:pPr>
        <w:spacing w:line="240" w:lineRule="atLeast"/>
        <w:ind w:left="3200"/>
        <w:rPr>
          <w:rFonts w:ascii="宋体"/>
          <w:b/>
          <w:sz w:val="32"/>
          <w:highlight w:val="none"/>
        </w:rPr>
      </w:pPr>
    </w:p>
    <w:p w14:paraId="10837133">
      <w:pPr>
        <w:widowControl/>
        <w:jc w:val="left"/>
        <w:rPr>
          <w:rFonts w:cs="黑体"/>
          <w:b/>
          <w:bCs/>
          <w:sz w:val="28"/>
          <w:szCs w:val="28"/>
          <w:highlight w:val="none"/>
        </w:rPr>
      </w:pPr>
      <w:r>
        <w:rPr>
          <w:rFonts w:ascii="宋体"/>
          <w:b/>
          <w:sz w:val="32"/>
          <w:highlight w:val="none"/>
        </w:rPr>
        <w:br w:type="page"/>
      </w:r>
    </w:p>
    <w:p w14:paraId="4F77F4C3">
      <w:pPr>
        <w:wordWrap w:val="0"/>
        <w:spacing w:before="160" w:after="160" w:line="415" w:lineRule="auto"/>
        <w:jc w:val="center"/>
        <w:outlineLvl w:val="1"/>
        <w:rPr>
          <w:rFonts w:ascii="宋体" w:hAnsi="宋体"/>
          <w:b/>
          <w:sz w:val="28"/>
          <w:szCs w:val="28"/>
          <w:highlight w:val="none"/>
        </w:rPr>
      </w:pPr>
      <w:r>
        <w:rPr>
          <w:rFonts w:hint="eastAsia" w:ascii="宋体" w:hAnsi="宋体"/>
          <w:b/>
          <w:sz w:val="28"/>
          <w:szCs w:val="28"/>
          <w:highlight w:val="none"/>
          <w:lang w:eastAsia="zh-CN"/>
        </w:rPr>
        <w:t>五</w:t>
      </w:r>
      <w:r>
        <w:rPr>
          <w:rFonts w:hint="eastAsia" w:ascii="宋体" w:hAnsi="宋体"/>
          <w:b/>
          <w:sz w:val="28"/>
          <w:szCs w:val="28"/>
          <w:highlight w:val="none"/>
        </w:rPr>
        <w:t>、授权委托书</w:t>
      </w:r>
    </w:p>
    <w:p w14:paraId="5BD6DAD8">
      <w:pPr>
        <w:spacing w:line="440" w:lineRule="exact"/>
        <w:ind w:left="120" w:leftChars="57" w:firstLine="360" w:firstLineChars="150"/>
        <w:rPr>
          <w:rFonts w:cs="宋体"/>
          <w:bCs/>
          <w:sz w:val="24"/>
          <w:szCs w:val="24"/>
          <w:highlight w:val="none"/>
        </w:rPr>
      </w:pPr>
      <w:r>
        <w:rPr>
          <w:rFonts w:hint="eastAsia" w:cs="宋体"/>
          <w:bCs/>
          <w:sz w:val="24"/>
          <w:szCs w:val="24"/>
          <w:highlight w:val="none"/>
        </w:rPr>
        <w:t>本人（姓名）系（供应商名称）的法定代表人，现委托（姓名）为我方代理人。代理人根据授权，以我方名义签署、澄清、说明、补正、递交、撤回、修改</w:t>
      </w:r>
      <w:r>
        <w:rPr>
          <w:rFonts w:hint="eastAsia" w:cs="宋体"/>
          <w:bCs/>
          <w:sz w:val="24"/>
          <w:szCs w:val="24"/>
          <w:highlight w:val="none"/>
          <w:lang w:val="en-US" w:eastAsia="zh-CN"/>
        </w:rPr>
        <w:t>__________</w:t>
      </w:r>
      <w:r>
        <w:rPr>
          <w:rFonts w:hint="eastAsia" w:cs="宋体"/>
          <w:bCs/>
          <w:sz w:val="24"/>
          <w:szCs w:val="24"/>
          <w:highlight w:val="none"/>
        </w:rPr>
        <w:t>（项目名称）</w:t>
      </w:r>
      <w:r>
        <w:rPr>
          <w:rFonts w:hint="eastAsia" w:cs="宋体"/>
          <w:bCs/>
          <w:sz w:val="24"/>
          <w:szCs w:val="24"/>
          <w:highlight w:val="none"/>
          <w:lang w:eastAsia="zh-CN"/>
        </w:rPr>
        <w:t>第</w:t>
      </w:r>
      <w:r>
        <w:rPr>
          <w:rFonts w:hint="eastAsia" w:cs="宋体"/>
          <w:bCs/>
          <w:sz w:val="24"/>
          <w:szCs w:val="24"/>
          <w:highlight w:val="none"/>
          <w:lang w:val="en-US" w:eastAsia="zh-CN"/>
        </w:rPr>
        <w:t>___包</w:t>
      </w:r>
      <w:r>
        <w:rPr>
          <w:rFonts w:hint="eastAsia" w:cs="宋体"/>
          <w:bCs/>
          <w:sz w:val="24"/>
          <w:szCs w:val="24"/>
          <w:highlight w:val="none"/>
          <w:lang w:eastAsia="zh-CN"/>
        </w:rPr>
        <w:t>响应文件</w:t>
      </w:r>
      <w:r>
        <w:rPr>
          <w:rFonts w:hint="eastAsia" w:cs="宋体"/>
          <w:bCs/>
          <w:sz w:val="24"/>
          <w:szCs w:val="24"/>
          <w:highlight w:val="none"/>
        </w:rPr>
        <w:t>、签订合同和处理有关事宜，其法律后果由我方承担。</w:t>
      </w:r>
    </w:p>
    <w:p w14:paraId="725E2438">
      <w:pPr>
        <w:spacing w:line="440" w:lineRule="exact"/>
        <w:ind w:firstLine="480" w:firstLineChars="200"/>
        <w:rPr>
          <w:rFonts w:cs="宋体"/>
          <w:bCs/>
          <w:sz w:val="24"/>
          <w:szCs w:val="24"/>
          <w:highlight w:val="none"/>
        </w:rPr>
      </w:pPr>
    </w:p>
    <w:p w14:paraId="58FB4D87">
      <w:pPr>
        <w:spacing w:line="440" w:lineRule="exact"/>
        <w:ind w:firstLine="480" w:firstLineChars="200"/>
        <w:rPr>
          <w:rFonts w:cs="宋体"/>
          <w:bCs/>
          <w:sz w:val="24"/>
          <w:szCs w:val="24"/>
          <w:highlight w:val="none"/>
        </w:rPr>
      </w:pPr>
      <w:r>
        <w:rPr>
          <w:rFonts w:hint="eastAsia" w:cs="宋体"/>
          <w:bCs/>
          <w:sz w:val="24"/>
          <w:szCs w:val="24"/>
          <w:highlight w:val="none"/>
        </w:rPr>
        <w:t>代理人无转委托权。</w:t>
      </w:r>
    </w:p>
    <w:p w14:paraId="4CFC8015">
      <w:pPr>
        <w:snapToGrid w:val="0"/>
        <w:spacing w:line="360" w:lineRule="auto"/>
        <w:ind w:firstLine="480" w:firstLineChars="200"/>
        <w:jc w:val="left"/>
        <w:rPr>
          <w:rFonts w:ascii="Arial" w:hAnsi="宋体" w:cs="Arial"/>
          <w:sz w:val="24"/>
          <w:szCs w:val="24"/>
          <w:highlight w:val="none"/>
          <w:u w:color="000000"/>
        </w:rPr>
      </w:pPr>
    </w:p>
    <w:p w14:paraId="4C23E3D9">
      <w:pPr>
        <w:snapToGrid w:val="0"/>
        <w:spacing w:line="360" w:lineRule="auto"/>
        <w:ind w:firstLine="480" w:firstLineChars="200"/>
        <w:jc w:val="left"/>
        <w:rPr>
          <w:rFonts w:ascii="Arial" w:hAnsi="宋体" w:cs="Arial"/>
          <w:sz w:val="24"/>
          <w:szCs w:val="24"/>
          <w:highlight w:val="none"/>
          <w:u w:color="000000"/>
        </w:rPr>
      </w:pPr>
      <w:r>
        <w:rPr>
          <w:rFonts w:hint="eastAsia" w:ascii="Arial" w:hAnsi="宋体" w:cs="Arial"/>
          <w:sz w:val="24"/>
          <w:szCs w:val="24"/>
          <w:highlight w:val="none"/>
          <w:u w:color="000000"/>
        </w:rPr>
        <w:t>本授权书自出具之日起生效。</w:t>
      </w:r>
    </w:p>
    <w:p w14:paraId="5141AD78">
      <w:pPr>
        <w:spacing w:after="156" w:line="440" w:lineRule="exact"/>
        <w:ind w:firstLine="480" w:firstLineChars="200"/>
        <w:rPr>
          <w:rFonts w:cs="宋体"/>
          <w:bCs/>
          <w:sz w:val="24"/>
          <w:szCs w:val="24"/>
          <w:highlight w:val="none"/>
        </w:rPr>
      </w:pPr>
      <w:r>
        <w:rPr>
          <w:rFonts w:hint="eastAsia" w:cs="宋体"/>
          <w:bCs/>
          <w:sz w:val="24"/>
          <w:szCs w:val="24"/>
          <w:highlight w:val="none"/>
        </w:rPr>
        <w:t>附：</w:t>
      </w:r>
      <w:r>
        <w:rPr>
          <w:rFonts w:hint="eastAsia" w:cs="宋体"/>
          <w:b/>
          <w:bCs w:val="0"/>
          <w:sz w:val="24"/>
          <w:szCs w:val="24"/>
          <w:highlight w:val="none"/>
        </w:rPr>
        <w:t>法定代表人</w:t>
      </w:r>
      <w:r>
        <w:rPr>
          <w:rFonts w:hint="eastAsia" w:cs="宋体"/>
          <w:bCs/>
          <w:sz w:val="24"/>
          <w:szCs w:val="24"/>
          <w:highlight w:val="none"/>
        </w:rPr>
        <w:t>和</w:t>
      </w:r>
      <w:r>
        <w:rPr>
          <w:rFonts w:hint="eastAsia" w:cs="宋体"/>
          <w:b/>
          <w:bCs w:val="0"/>
          <w:sz w:val="24"/>
          <w:szCs w:val="24"/>
          <w:highlight w:val="none"/>
        </w:rPr>
        <w:t>授权委托人</w:t>
      </w:r>
      <w:r>
        <w:rPr>
          <w:rFonts w:hint="eastAsia" w:cs="宋体"/>
          <w:bCs/>
          <w:sz w:val="24"/>
          <w:szCs w:val="24"/>
          <w:highlight w:val="none"/>
        </w:rPr>
        <w:t>的身份证复印件（正反两面）</w:t>
      </w:r>
    </w:p>
    <w:p w14:paraId="5A39ED34">
      <w:pPr>
        <w:spacing w:line="440" w:lineRule="exact"/>
        <w:ind w:firstLine="480" w:firstLineChars="200"/>
        <w:rPr>
          <w:rFonts w:cs="宋体"/>
          <w:bCs/>
          <w:sz w:val="24"/>
          <w:szCs w:val="24"/>
          <w:highlight w:val="none"/>
        </w:rPr>
      </w:pPr>
    </w:p>
    <w:p w14:paraId="56182B57">
      <w:pPr>
        <w:pStyle w:val="27"/>
        <w:ind w:firstLine="640"/>
        <w:rPr>
          <w:highlight w:val="none"/>
        </w:rPr>
      </w:pPr>
    </w:p>
    <w:p w14:paraId="4B1EFC90">
      <w:pPr>
        <w:pStyle w:val="27"/>
        <w:ind w:firstLine="640"/>
        <w:rPr>
          <w:highlight w:val="none"/>
        </w:rPr>
      </w:pPr>
    </w:p>
    <w:p w14:paraId="6E50CA62">
      <w:pPr>
        <w:spacing w:line="440" w:lineRule="exact"/>
        <w:ind w:firstLine="480" w:firstLineChars="200"/>
        <w:rPr>
          <w:rFonts w:cs="宋体"/>
          <w:bCs/>
          <w:sz w:val="24"/>
          <w:szCs w:val="24"/>
          <w:highlight w:val="none"/>
        </w:rPr>
      </w:pPr>
    </w:p>
    <w:p w14:paraId="501E7894">
      <w:pPr>
        <w:spacing w:line="440" w:lineRule="exact"/>
        <w:rPr>
          <w:rFonts w:cs="宋体"/>
          <w:bCs/>
          <w:sz w:val="24"/>
          <w:szCs w:val="24"/>
          <w:highlight w:val="none"/>
        </w:rPr>
      </w:pPr>
      <w:r>
        <w:rPr>
          <w:rFonts w:hint="eastAsia" w:cs="宋体"/>
          <w:bCs/>
          <w:sz w:val="24"/>
          <w:szCs w:val="24"/>
          <w:highlight w:val="none"/>
        </w:rPr>
        <w:t>注：本授权委托书需由供应商加盖单位公章并由其法定代表人和委托代理人签字或盖章。</w:t>
      </w:r>
    </w:p>
    <w:p w14:paraId="0B09EFE3">
      <w:pPr>
        <w:spacing w:line="440" w:lineRule="exact"/>
        <w:ind w:firstLine="480" w:firstLineChars="200"/>
        <w:jc w:val="right"/>
        <w:rPr>
          <w:rFonts w:cs="宋体"/>
          <w:bCs/>
          <w:sz w:val="24"/>
          <w:szCs w:val="24"/>
          <w:highlight w:val="none"/>
        </w:rPr>
      </w:pPr>
    </w:p>
    <w:p w14:paraId="7D1066B8">
      <w:pPr>
        <w:spacing w:line="440" w:lineRule="exact"/>
        <w:ind w:firstLine="5520" w:firstLineChars="2300"/>
        <w:rPr>
          <w:sz w:val="24"/>
          <w:szCs w:val="24"/>
          <w:highlight w:val="none"/>
        </w:rPr>
      </w:pPr>
      <w:r>
        <w:rPr>
          <w:rFonts w:hint="eastAsia" w:cs="宋体"/>
          <w:sz w:val="24"/>
          <w:szCs w:val="24"/>
          <w:highlight w:val="none"/>
        </w:rPr>
        <w:t>供应商：（盖单位章）</w:t>
      </w:r>
    </w:p>
    <w:p w14:paraId="7689C4EF">
      <w:pPr>
        <w:spacing w:line="440" w:lineRule="exact"/>
        <w:ind w:firstLine="2940" w:firstLineChars="1225"/>
        <w:rPr>
          <w:sz w:val="24"/>
          <w:szCs w:val="24"/>
          <w:highlight w:val="none"/>
        </w:rPr>
      </w:pPr>
    </w:p>
    <w:p w14:paraId="462953D8">
      <w:pPr>
        <w:spacing w:line="440" w:lineRule="exact"/>
        <w:jc w:val="right"/>
        <w:rPr>
          <w:sz w:val="24"/>
          <w:szCs w:val="24"/>
          <w:highlight w:val="none"/>
        </w:rPr>
      </w:pPr>
      <w:r>
        <w:rPr>
          <w:rFonts w:hint="eastAsia" w:cs="宋体"/>
          <w:sz w:val="24"/>
          <w:szCs w:val="24"/>
          <w:highlight w:val="none"/>
        </w:rPr>
        <w:t>法定代表人：（签字或盖章）</w:t>
      </w:r>
    </w:p>
    <w:p w14:paraId="3B7E6530">
      <w:pPr>
        <w:spacing w:line="440" w:lineRule="exact"/>
        <w:ind w:firstLine="2940" w:firstLineChars="1225"/>
        <w:rPr>
          <w:sz w:val="24"/>
          <w:szCs w:val="24"/>
          <w:highlight w:val="none"/>
        </w:rPr>
      </w:pPr>
    </w:p>
    <w:p w14:paraId="731B72EC">
      <w:pPr>
        <w:spacing w:line="440" w:lineRule="exact"/>
        <w:ind w:firstLine="5580" w:firstLineChars="2325"/>
        <w:rPr>
          <w:sz w:val="24"/>
          <w:szCs w:val="24"/>
          <w:highlight w:val="none"/>
        </w:rPr>
      </w:pPr>
      <w:r>
        <w:rPr>
          <w:rFonts w:hint="eastAsia"/>
          <w:sz w:val="24"/>
          <w:szCs w:val="24"/>
          <w:highlight w:val="none"/>
        </w:rPr>
        <w:t>联系电话：</w:t>
      </w:r>
    </w:p>
    <w:p w14:paraId="5F42AD04">
      <w:pPr>
        <w:spacing w:line="440" w:lineRule="exact"/>
        <w:ind w:firstLine="2940" w:firstLineChars="1225"/>
        <w:rPr>
          <w:rFonts w:cs="宋体"/>
          <w:sz w:val="24"/>
          <w:szCs w:val="24"/>
          <w:highlight w:val="none"/>
        </w:rPr>
      </w:pPr>
    </w:p>
    <w:p w14:paraId="15970836">
      <w:pPr>
        <w:spacing w:line="440" w:lineRule="exact"/>
        <w:jc w:val="right"/>
        <w:rPr>
          <w:sz w:val="24"/>
          <w:szCs w:val="24"/>
          <w:highlight w:val="none"/>
        </w:rPr>
      </w:pPr>
      <w:r>
        <w:rPr>
          <w:rFonts w:hint="eastAsia" w:cs="宋体"/>
          <w:sz w:val="24"/>
          <w:szCs w:val="24"/>
          <w:highlight w:val="none"/>
        </w:rPr>
        <w:t>委托代理人：（签字或盖章）</w:t>
      </w:r>
    </w:p>
    <w:p w14:paraId="3A72D995">
      <w:pPr>
        <w:spacing w:line="440" w:lineRule="exact"/>
        <w:ind w:firstLine="2940" w:firstLineChars="1225"/>
        <w:rPr>
          <w:sz w:val="24"/>
          <w:szCs w:val="24"/>
          <w:highlight w:val="none"/>
        </w:rPr>
      </w:pPr>
    </w:p>
    <w:p w14:paraId="4471ABCA">
      <w:pPr>
        <w:spacing w:line="440" w:lineRule="exact"/>
        <w:ind w:firstLine="5580" w:firstLineChars="2325"/>
        <w:rPr>
          <w:sz w:val="24"/>
          <w:szCs w:val="24"/>
          <w:highlight w:val="none"/>
        </w:rPr>
      </w:pPr>
      <w:r>
        <w:rPr>
          <w:rFonts w:hint="eastAsia"/>
          <w:sz w:val="24"/>
          <w:szCs w:val="24"/>
          <w:highlight w:val="none"/>
        </w:rPr>
        <w:t>联系电话：</w:t>
      </w:r>
    </w:p>
    <w:p w14:paraId="4FCB441B">
      <w:pPr>
        <w:spacing w:line="440" w:lineRule="exact"/>
        <w:ind w:firstLine="2940" w:firstLineChars="1225"/>
        <w:rPr>
          <w:rFonts w:cs="宋体"/>
          <w:sz w:val="24"/>
          <w:szCs w:val="24"/>
          <w:highlight w:val="none"/>
        </w:rPr>
      </w:pPr>
    </w:p>
    <w:p w14:paraId="5E41D1B7">
      <w:pPr>
        <w:spacing w:line="440" w:lineRule="exact"/>
        <w:jc w:val="right"/>
        <w:rPr>
          <w:rFonts w:cs="宋体"/>
          <w:sz w:val="24"/>
          <w:szCs w:val="24"/>
          <w:highlight w:val="none"/>
        </w:rPr>
      </w:pPr>
      <w:r>
        <w:rPr>
          <w:rFonts w:hint="eastAsia" w:cs="宋体"/>
          <w:sz w:val="24"/>
          <w:szCs w:val="24"/>
          <w:highlight w:val="none"/>
        </w:rPr>
        <w:t>年</w:t>
      </w:r>
      <w:r>
        <w:rPr>
          <w:rFonts w:hint="eastAsia" w:cs="宋体"/>
          <w:sz w:val="24"/>
          <w:szCs w:val="24"/>
          <w:highlight w:val="none"/>
          <w:lang w:val="en-US" w:eastAsia="zh-CN"/>
        </w:rPr>
        <w:t xml:space="preserve">  </w:t>
      </w:r>
      <w:r>
        <w:rPr>
          <w:rFonts w:hint="eastAsia" w:cs="宋体"/>
          <w:sz w:val="24"/>
          <w:szCs w:val="24"/>
          <w:highlight w:val="none"/>
        </w:rPr>
        <w:t>月</w:t>
      </w:r>
      <w:r>
        <w:rPr>
          <w:rFonts w:hint="eastAsia" w:cs="宋体"/>
          <w:sz w:val="24"/>
          <w:szCs w:val="24"/>
          <w:highlight w:val="none"/>
          <w:lang w:val="en-US" w:eastAsia="zh-CN"/>
        </w:rPr>
        <w:t xml:space="preserve">  </w:t>
      </w:r>
      <w:r>
        <w:rPr>
          <w:rFonts w:hint="eastAsia" w:cs="宋体"/>
          <w:sz w:val="24"/>
          <w:szCs w:val="24"/>
          <w:highlight w:val="none"/>
        </w:rPr>
        <w:t>日</w:t>
      </w:r>
    </w:p>
    <w:p w14:paraId="6C281A14">
      <w:pPr>
        <w:autoSpaceDE w:val="0"/>
        <w:autoSpaceDN w:val="0"/>
        <w:adjustRightInd w:val="0"/>
        <w:jc w:val="center"/>
        <w:rPr>
          <w:rFonts w:asciiTheme="minorEastAsia" w:hAnsiTheme="minorEastAsia" w:eastAsiaTheme="minorEastAsia" w:cstheme="minorEastAsia"/>
          <w:b/>
          <w:sz w:val="32"/>
          <w:szCs w:val="32"/>
          <w:highlight w:val="none"/>
        </w:rPr>
      </w:pPr>
    </w:p>
    <w:bookmarkEnd w:id="132"/>
    <w:bookmarkEnd w:id="133"/>
    <w:bookmarkEnd w:id="134"/>
    <w:p w14:paraId="7E54A4CC">
      <w:pPr>
        <w:wordWrap w:val="0"/>
        <w:jc w:val="center"/>
        <w:outlineLvl w:val="1"/>
        <w:rPr>
          <w:rFonts w:ascii="宋体"/>
          <w:b/>
          <w:sz w:val="28"/>
          <w:szCs w:val="28"/>
          <w:highlight w:val="none"/>
        </w:rPr>
      </w:pPr>
      <w:bookmarkStart w:id="135" w:name="_Toc4109"/>
      <w:r>
        <w:rPr>
          <w:rFonts w:hint="eastAsia" w:ascii="宋体" w:hAnsi="宋体" w:cs="宋体"/>
          <w:b/>
          <w:sz w:val="28"/>
          <w:szCs w:val="28"/>
          <w:highlight w:val="none"/>
          <w:lang w:eastAsia="zh-CN"/>
        </w:rPr>
        <w:t>六</w:t>
      </w:r>
      <w:r>
        <w:rPr>
          <w:rFonts w:hint="eastAsia" w:ascii="宋体" w:hAnsi="宋体" w:cs="宋体"/>
          <w:b/>
          <w:sz w:val="28"/>
          <w:szCs w:val="28"/>
          <w:highlight w:val="none"/>
        </w:rPr>
        <w:t>、</w:t>
      </w:r>
      <w:r>
        <w:rPr>
          <w:rFonts w:hint="eastAsia" w:ascii="宋体" w:hAnsi="宋体" w:cs="宋体"/>
          <w:b/>
          <w:sz w:val="28"/>
          <w:szCs w:val="28"/>
          <w:highlight w:val="none"/>
          <w:lang w:eastAsia="zh-CN"/>
        </w:rPr>
        <w:t>供应商</w:t>
      </w:r>
      <w:r>
        <w:rPr>
          <w:rFonts w:hint="eastAsia" w:ascii="宋体" w:hAnsi="宋体" w:cs="宋体"/>
          <w:b/>
          <w:sz w:val="28"/>
          <w:szCs w:val="28"/>
          <w:highlight w:val="none"/>
        </w:rPr>
        <w:t>基本情况表</w:t>
      </w:r>
      <w:bookmarkEnd w:id="135"/>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4"/>
        <w:gridCol w:w="1050"/>
        <w:gridCol w:w="1590"/>
        <w:gridCol w:w="1290"/>
        <w:gridCol w:w="1101"/>
        <w:gridCol w:w="498"/>
        <w:gridCol w:w="704"/>
        <w:gridCol w:w="1252"/>
      </w:tblGrid>
      <w:tr w14:paraId="62AB2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6"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3AC0C5A6">
            <w:pPr>
              <w:wordWrap w:val="0"/>
              <w:spacing w:line="6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c>
        <w:tc>
          <w:tcPr>
            <w:tcW w:w="7485" w:type="dxa"/>
            <w:gridSpan w:val="7"/>
            <w:tcBorders>
              <w:top w:val="single" w:color="auto" w:sz="4" w:space="0"/>
              <w:left w:val="single" w:color="auto" w:sz="4" w:space="0"/>
              <w:bottom w:val="single" w:color="auto" w:sz="4" w:space="0"/>
              <w:right w:val="single" w:color="auto" w:sz="4" w:space="0"/>
            </w:tcBorders>
          </w:tcPr>
          <w:p w14:paraId="50DE5F31">
            <w:pPr>
              <w:wordWrap w:val="0"/>
              <w:spacing w:line="600" w:lineRule="auto"/>
              <w:jc w:val="center"/>
              <w:rPr>
                <w:rFonts w:hint="eastAsia" w:ascii="宋体" w:hAnsi="宋体" w:eastAsia="宋体" w:cs="宋体"/>
                <w:sz w:val="24"/>
                <w:szCs w:val="24"/>
                <w:highlight w:val="none"/>
              </w:rPr>
            </w:pPr>
          </w:p>
        </w:tc>
      </w:tr>
      <w:tr w14:paraId="117F6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6" w:hRule="atLeast"/>
          <w:jc w:val="center"/>
        </w:trPr>
        <w:tc>
          <w:tcPr>
            <w:tcW w:w="1454" w:type="dxa"/>
            <w:tcBorders>
              <w:top w:val="single" w:color="auto" w:sz="4" w:space="0"/>
              <w:left w:val="single" w:color="auto" w:sz="4" w:space="0"/>
              <w:bottom w:val="single" w:color="auto" w:sz="4" w:space="0"/>
              <w:right w:val="single" w:color="auto" w:sz="4" w:space="0"/>
            </w:tcBorders>
          </w:tcPr>
          <w:p w14:paraId="402E6934">
            <w:pPr>
              <w:wordWrap w:val="0"/>
              <w:spacing w:line="6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3930" w:type="dxa"/>
            <w:gridSpan w:val="3"/>
            <w:tcBorders>
              <w:top w:val="single" w:color="auto" w:sz="4" w:space="0"/>
              <w:left w:val="single" w:color="auto" w:sz="4" w:space="0"/>
              <w:bottom w:val="single" w:color="auto" w:sz="4" w:space="0"/>
              <w:right w:val="single" w:color="auto" w:sz="4" w:space="0"/>
            </w:tcBorders>
          </w:tcPr>
          <w:p w14:paraId="7D665D7D">
            <w:pPr>
              <w:wordWrap w:val="0"/>
              <w:spacing w:line="600" w:lineRule="auto"/>
              <w:jc w:val="center"/>
              <w:rPr>
                <w:rFonts w:hint="eastAsia" w:ascii="宋体" w:hAnsi="宋体" w:eastAsia="宋体" w:cs="宋体"/>
                <w:sz w:val="24"/>
                <w:szCs w:val="24"/>
                <w:highlight w:val="none"/>
              </w:rPr>
            </w:pPr>
          </w:p>
        </w:tc>
        <w:tc>
          <w:tcPr>
            <w:tcW w:w="1599" w:type="dxa"/>
            <w:gridSpan w:val="2"/>
            <w:tcBorders>
              <w:top w:val="single" w:color="auto" w:sz="4" w:space="0"/>
              <w:left w:val="single" w:color="auto" w:sz="4" w:space="0"/>
              <w:bottom w:val="single" w:color="auto" w:sz="4" w:space="0"/>
              <w:right w:val="single" w:color="auto" w:sz="4" w:space="0"/>
            </w:tcBorders>
          </w:tcPr>
          <w:p w14:paraId="343E09F7">
            <w:pPr>
              <w:wordWrap w:val="0"/>
              <w:spacing w:line="6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956" w:type="dxa"/>
            <w:gridSpan w:val="2"/>
            <w:tcBorders>
              <w:top w:val="single" w:color="auto" w:sz="4" w:space="0"/>
              <w:left w:val="single" w:color="auto" w:sz="4" w:space="0"/>
              <w:bottom w:val="single" w:color="auto" w:sz="4" w:space="0"/>
              <w:right w:val="single" w:color="auto" w:sz="4" w:space="0"/>
            </w:tcBorders>
          </w:tcPr>
          <w:p w14:paraId="1CC624C2">
            <w:pPr>
              <w:wordWrap w:val="0"/>
              <w:spacing w:line="600" w:lineRule="auto"/>
              <w:jc w:val="left"/>
              <w:rPr>
                <w:rFonts w:hint="eastAsia" w:ascii="宋体" w:hAnsi="宋体" w:eastAsia="宋体" w:cs="宋体"/>
                <w:sz w:val="24"/>
                <w:szCs w:val="24"/>
                <w:highlight w:val="none"/>
              </w:rPr>
            </w:pPr>
          </w:p>
        </w:tc>
      </w:tr>
      <w:tr w14:paraId="307DF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6" w:hRule="atLeast"/>
          <w:jc w:val="center"/>
        </w:trPr>
        <w:tc>
          <w:tcPr>
            <w:tcW w:w="1454" w:type="dxa"/>
            <w:vMerge w:val="restart"/>
            <w:tcBorders>
              <w:top w:val="single" w:color="auto" w:sz="4" w:space="0"/>
              <w:left w:val="single" w:color="auto" w:sz="4" w:space="0"/>
              <w:bottom w:val="single" w:color="auto" w:sz="4" w:space="0"/>
              <w:right w:val="single" w:color="auto" w:sz="4" w:space="0"/>
            </w:tcBorders>
            <w:vAlign w:val="center"/>
          </w:tcPr>
          <w:p w14:paraId="6EBD796B">
            <w:pPr>
              <w:wordWrap w:val="0"/>
              <w:spacing w:line="6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1050" w:type="dxa"/>
            <w:tcBorders>
              <w:top w:val="single" w:color="auto" w:sz="4" w:space="0"/>
              <w:left w:val="single" w:color="auto" w:sz="4" w:space="0"/>
              <w:bottom w:val="single" w:color="auto" w:sz="4" w:space="0"/>
              <w:right w:val="single" w:color="auto" w:sz="4" w:space="0"/>
            </w:tcBorders>
            <w:vAlign w:val="center"/>
          </w:tcPr>
          <w:p w14:paraId="6808E223">
            <w:pPr>
              <w:wordWrap w:val="0"/>
              <w:spacing w:line="6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2880" w:type="dxa"/>
            <w:gridSpan w:val="2"/>
            <w:tcBorders>
              <w:top w:val="single" w:color="auto" w:sz="4" w:space="0"/>
              <w:left w:val="single" w:color="auto" w:sz="4" w:space="0"/>
              <w:bottom w:val="single" w:color="auto" w:sz="4" w:space="0"/>
              <w:right w:val="single" w:color="auto" w:sz="4" w:space="0"/>
            </w:tcBorders>
            <w:vAlign w:val="center"/>
          </w:tcPr>
          <w:p w14:paraId="3BEC7749">
            <w:pPr>
              <w:wordWrap w:val="0"/>
              <w:spacing w:line="600" w:lineRule="auto"/>
              <w:jc w:val="center"/>
              <w:rPr>
                <w:rFonts w:hint="eastAsia" w:ascii="宋体" w:hAnsi="宋体" w:eastAsia="宋体" w:cs="宋体"/>
                <w:sz w:val="24"/>
                <w:szCs w:val="24"/>
                <w:highlight w:val="none"/>
              </w:rPr>
            </w:pP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732805DF">
            <w:pPr>
              <w:wordWrap w:val="0"/>
              <w:spacing w:line="6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1956" w:type="dxa"/>
            <w:gridSpan w:val="2"/>
            <w:tcBorders>
              <w:top w:val="single" w:color="auto" w:sz="4" w:space="0"/>
              <w:left w:val="single" w:color="auto" w:sz="4" w:space="0"/>
              <w:bottom w:val="single" w:color="auto" w:sz="4" w:space="0"/>
              <w:right w:val="single" w:color="auto" w:sz="4" w:space="0"/>
            </w:tcBorders>
          </w:tcPr>
          <w:p w14:paraId="652B59D7">
            <w:pPr>
              <w:wordWrap w:val="0"/>
              <w:spacing w:line="600" w:lineRule="auto"/>
              <w:jc w:val="left"/>
              <w:rPr>
                <w:rFonts w:hint="eastAsia" w:ascii="宋体" w:hAnsi="宋体" w:eastAsia="宋体" w:cs="宋体"/>
                <w:sz w:val="24"/>
                <w:szCs w:val="24"/>
                <w:highlight w:val="none"/>
              </w:rPr>
            </w:pPr>
          </w:p>
        </w:tc>
      </w:tr>
      <w:tr w14:paraId="675F8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6" w:hRule="atLeast"/>
          <w:jc w:val="center"/>
        </w:trPr>
        <w:tc>
          <w:tcPr>
            <w:tcW w:w="1454" w:type="dxa"/>
            <w:vMerge w:val="continue"/>
            <w:tcBorders>
              <w:top w:val="single" w:color="auto" w:sz="4" w:space="0"/>
              <w:left w:val="single" w:color="auto" w:sz="4" w:space="0"/>
              <w:bottom w:val="single" w:color="auto" w:sz="4" w:space="0"/>
              <w:right w:val="single" w:color="auto" w:sz="4" w:space="0"/>
            </w:tcBorders>
            <w:vAlign w:val="center"/>
          </w:tcPr>
          <w:p w14:paraId="4E86F192">
            <w:pPr>
              <w:spacing w:line="600" w:lineRule="auto"/>
              <w:rPr>
                <w:rFonts w:hint="eastAsia" w:ascii="宋体" w:hAnsi="宋体" w:eastAsia="宋体" w:cs="宋体"/>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6D2A74F">
            <w:pPr>
              <w:wordWrap w:val="0"/>
              <w:spacing w:line="6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tc>
        <w:tc>
          <w:tcPr>
            <w:tcW w:w="2880" w:type="dxa"/>
            <w:gridSpan w:val="2"/>
            <w:tcBorders>
              <w:top w:val="single" w:color="auto" w:sz="4" w:space="0"/>
              <w:left w:val="single" w:color="auto" w:sz="4" w:space="0"/>
              <w:bottom w:val="single" w:color="auto" w:sz="4" w:space="0"/>
              <w:right w:val="single" w:color="auto" w:sz="4" w:space="0"/>
            </w:tcBorders>
            <w:vAlign w:val="center"/>
          </w:tcPr>
          <w:p w14:paraId="11472362">
            <w:pPr>
              <w:wordWrap w:val="0"/>
              <w:spacing w:line="600" w:lineRule="auto"/>
              <w:jc w:val="center"/>
              <w:rPr>
                <w:rFonts w:hint="eastAsia" w:ascii="宋体" w:hAnsi="宋体" w:eastAsia="宋体" w:cs="宋体"/>
                <w:sz w:val="24"/>
                <w:szCs w:val="24"/>
                <w:highlight w:val="none"/>
              </w:rPr>
            </w:pP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7957A272">
            <w:pPr>
              <w:wordWrap w:val="0"/>
              <w:spacing w:line="6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网址</w:t>
            </w:r>
          </w:p>
        </w:tc>
        <w:tc>
          <w:tcPr>
            <w:tcW w:w="1956" w:type="dxa"/>
            <w:gridSpan w:val="2"/>
            <w:tcBorders>
              <w:top w:val="single" w:color="auto" w:sz="4" w:space="0"/>
              <w:left w:val="single" w:color="auto" w:sz="4" w:space="0"/>
              <w:bottom w:val="single" w:color="auto" w:sz="4" w:space="0"/>
              <w:right w:val="single" w:color="auto" w:sz="4" w:space="0"/>
            </w:tcBorders>
          </w:tcPr>
          <w:p w14:paraId="59ED4730">
            <w:pPr>
              <w:wordWrap w:val="0"/>
              <w:spacing w:line="600" w:lineRule="auto"/>
              <w:jc w:val="left"/>
              <w:rPr>
                <w:rFonts w:hint="eastAsia" w:ascii="宋体" w:hAnsi="宋体" w:eastAsia="宋体" w:cs="宋体"/>
                <w:sz w:val="24"/>
                <w:szCs w:val="24"/>
                <w:highlight w:val="none"/>
              </w:rPr>
            </w:pPr>
          </w:p>
        </w:tc>
      </w:tr>
      <w:tr w14:paraId="3A88F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2"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71CA8095">
            <w:pPr>
              <w:wordWrap w:val="0"/>
              <w:spacing w:line="6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050" w:type="dxa"/>
            <w:tcBorders>
              <w:top w:val="single" w:color="auto" w:sz="4" w:space="0"/>
              <w:left w:val="single" w:color="auto" w:sz="4" w:space="0"/>
              <w:bottom w:val="single" w:color="auto" w:sz="4" w:space="0"/>
              <w:right w:val="single" w:color="auto" w:sz="4" w:space="0"/>
            </w:tcBorders>
            <w:vAlign w:val="center"/>
          </w:tcPr>
          <w:p w14:paraId="0C1D09CD">
            <w:pPr>
              <w:wordWrap w:val="0"/>
              <w:spacing w:line="6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1590" w:type="dxa"/>
            <w:tcBorders>
              <w:top w:val="single" w:color="auto" w:sz="4" w:space="0"/>
              <w:left w:val="single" w:color="auto" w:sz="4" w:space="0"/>
              <w:bottom w:val="single" w:color="auto" w:sz="4" w:space="0"/>
              <w:right w:val="single" w:color="auto" w:sz="4" w:space="0"/>
            </w:tcBorders>
            <w:vAlign w:val="center"/>
          </w:tcPr>
          <w:p w14:paraId="7503473D">
            <w:pPr>
              <w:wordWrap w:val="0"/>
              <w:spacing w:line="600" w:lineRule="auto"/>
              <w:jc w:val="center"/>
              <w:rPr>
                <w:rFonts w:hint="eastAsia" w:ascii="宋体" w:hAnsi="宋体" w:eastAsia="宋体" w:cs="宋体"/>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vAlign w:val="center"/>
          </w:tcPr>
          <w:p w14:paraId="3C210F81">
            <w:pPr>
              <w:wordWrap w:val="0"/>
              <w:spacing w:line="6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技术职称</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579AAFA8">
            <w:pPr>
              <w:wordWrap w:val="0"/>
              <w:spacing w:line="600" w:lineRule="auto"/>
              <w:jc w:val="center"/>
              <w:rPr>
                <w:rFonts w:hint="eastAsia" w:ascii="宋体" w:hAnsi="宋体" w:eastAsia="宋体" w:cs="宋体"/>
                <w:sz w:val="24"/>
                <w:szCs w:val="24"/>
                <w:highlight w:val="none"/>
              </w:rPr>
            </w:pPr>
          </w:p>
        </w:tc>
        <w:tc>
          <w:tcPr>
            <w:tcW w:w="704" w:type="dxa"/>
            <w:tcBorders>
              <w:top w:val="single" w:color="auto" w:sz="4" w:space="0"/>
              <w:left w:val="single" w:color="auto" w:sz="4" w:space="0"/>
              <w:bottom w:val="single" w:color="auto" w:sz="4" w:space="0"/>
              <w:right w:val="single" w:color="auto" w:sz="4" w:space="0"/>
            </w:tcBorders>
            <w:vAlign w:val="center"/>
          </w:tcPr>
          <w:p w14:paraId="7C5E2730">
            <w:pPr>
              <w:wordWrap w:val="0"/>
              <w:spacing w:line="6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1252" w:type="dxa"/>
            <w:tcBorders>
              <w:top w:val="single" w:color="auto" w:sz="4" w:space="0"/>
              <w:left w:val="single" w:color="auto" w:sz="4" w:space="0"/>
              <w:bottom w:val="single" w:color="auto" w:sz="4" w:space="0"/>
              <w:right w:val="single" w:color="auto" w:sz="4" w:space="0"/>
            </w:tcBorders>
            <w:vAlign w:val="center"/>
          </w:tcPr>
          <w:p w14:paraId="61B64141">
            <w:pPr>
              <w:wordWrap w:val="0"/>
              <w:spacing w:line="600" w:lineRule="auto"/>
              <w:jc w:val="center"/>
              <w:rPr>
                <w:rFonts w:hint="eastAsia" w:ascii="宋体" w:hAnsi="宋体" w:eastAsia="宋体" w:cs="宋体"/>
                <w:sz w:val="24"/>
                <w:szCs w:val="24"/>
                <w:highlight w:val="none"/>
              </w:rPr>
            </w:pPr>
          </w:p>
        </w:tc>
      </w:tr>
      <w:tr w14:paraId="743D7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6"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5CD585CC">
            <w:pPr>
              <w:wordWrap w:val="0"/>
              <w:spacing w:line="6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7485" w:type="dxa"/>
            <w:gridSpan w:val="7"/>
            <w:tcBorders>
              <w:top w:val="single" w:color="auto" w:sz="4" w:space="0"/>
              <w:left w:val="single" w:color="auto" w:sz="4" w:space="0"/>
              <w:bottom w:val="single" w:color="auto" w:sz="4" w:space="0"/>
              <w:right w:val="single" w:color="auto" w:sz="4" w:space="0"/>
            </w:tcBorders>
            <w:vAlign w:val="center"/>
          </w:tcPr>
          <w:p w14:paraId="282C217D">
            <w:pPr>
              <w:wordWrap w:val="0"/>
              <w:spacing w:line="600" w:lineRule="auto"/>
              <w:jc w:val="left"/>
              <w:rPr>
                <w:rFonts w:hint="eastAsia" w:ascii="宋体" w:hAnsi="宋体" w:eastAsia="宋体" w:cs="宋体"/>
                <w:sz w:val="24"/>
                <w:szCs w:val="24"/>
                <w:highlight w:val="none"/>
              </w:rPr>
            </w:pPr>
          </w:p>
        </w:tc>
      </w:tr>
      <w:tr w14:paraId="23FE5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6"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075A804D">
            <w:pPr>
              <w:wordWrap w:val="0"/>
              <w:spacing w:line="6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营业执照号</w:t>
            </w:r>
          </w:p>
        </w:tc>
        <w:tc>
          <w:tcPr>
            <w:tcW w:w="2640" w:type="dxa"/>
            <w:gridSpan w:val="2"/>
            <w:tcBorders>
              <w:top w:val="single" w:color="auto" w:sz="4" w:space="0"/>
              <w:left w:val="single" w:color="auto" w:sz="4" w:space="0"/>
              <w:bottom w:val="single" w:color="auto" w:sz="4" w:space="0"/>
              <w:right w:val="single" w:color="auto" w:sz="4" w:space="0"/>
            </w:tcBorders>
            <w:vAlign w:val="center"/>
          </w:tcPr>
          <w:p w14:paraId="09371ABE">
            <w:pPr>
              <w:wordWrap w:val="0"/>
              <w:spacing w:line="600" w:lineRule="auto"/>
              <w:jc w:val="center"/>
              <w:rPr>
                <w:rFonts w:hint="eastAsia" w:ascii="宋体" w:hAnsi="宋体" w:eastAsia="宋体" w:cs="宋体"/>
                <w:sz w:val="24"/>
                <w:szCs w:val="24"/>
                <w:highlight w:val="none"/>
              </w:rPr>
            </w:pPr>
          </w:p>
        </w:tc>
        <w:tc>
          <w:tcPr>
            <w:tcW w:w="2391" w:type="dxa"/>
            <w:gridSpan w:val="2"/>
            <w:tcBorders>
              <w:top w:val="single" w:color="auto" w:sz="4" w:space="0"/>
              <w:left w:val="single" w:color="auto" w:sz="4" w:space="0"/>
              <w:bottom w:val="single" w:color="auto" w:sz="4" w:space="0"/>
              <w:right w:val="single" w:color="auto" w:sz="4" w:space="0"/>
            </w:tcBorders>
            <w:vAlign w:val="center"/>
          </w:tcPr>
          <w:p w14:paraId="684863D9">
            <w:pPr>
              <w:wordWrap w:val="0"/>
              <w:spacing w:line="6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注册资金</w:t>
            </w:r>
          </w:p>
        </w:tc>
        <w:tc>
          <w:tcPr>
            <w:tcW w:w="2454" w:type="dxa"/>
            <w:gridSpan w:val="3"/>
            <w:tcBorders>
              <w:top w:val="single" w:color="auto" w:sz="4" w:space="0"/>
              <w:left w:val="single" w:color="auto" w:sz="4" w:space="0"/>
              <w:bottom w:val="single" w:color="auto" w:sz="4" w:space="0"/>
              <w:right w:val="single" w:color="auto" w:sz="4" w:space="0"/>
            </w:tcBorders>
            <w:vAlign w:val="center"/>
          </w:tcPr>
          <w:p w14:paraId="248F5F43">
            <w:pPr>
              <w:wordWrap w:val="0"/>
              <w:spacing w:line="600" w:lineRule="auto"/>
              <w:jc w:val="center"/>
              <w:rPr>
                <w:rFonts w:hint="eastAsia" w:ascii="宋体" w:hAnsi="宋体" w:eastAsia="宋体" w:cs="宋体"/>
                <w:sz w:val="24"/>
                <w:szCs w:val="24"/>
                <w:highlight w:val="none"/>
              </w:rPr>
            </w:pPr>
          </w:p>
        </w:tc>
      </w:tr>
      <w:tr w14:paraId="2F67B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6"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17F20241">
            <w:pPr>
              <w:wordWrap w:val="0"/>
              <w:spacing w:line="6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7485" w:type="dxa"/>
            <w:gridSpan w:val="7"/>
            <w:tcBorders>
              <w:top w:val="single" w:color="auto" w:sz="4" w:space="0"/>
              <w:left w:val="single" w:color="auto" w:sz="4" w:space="0"/>
              <w:bottom w:val="single" w:color="auto" w:sz="4" w:space="0"/>
              <w:right w:val="single" w:color="auto" w:sz="4" w:space="0"/>
            </w:tcBorders>
            <w:vAlign w:val="center"/>
          </w:tcPr>
          <w:p w14:paraId="7B38937A">
            <w:pPr>
              <w:wordWrap w:val="0"/>
              <w:spacing w:line="600" w:lineRule="auto"/>
              <w:jc w:val="center"/>
              <w:rPr>
                <w:rFonts w:hint="eastAsia" w:ascii="宋体" w:hAnsi="宋体" w:eastAsia="宋体" w:cs="宋体"/>
                <w:sz w:val="24"/>
                <w:szCs w:val="24"/>
                <w:highlight w:val="none"/>
              </w:rPr>
            </w:pPr>
          </w:p>
        </w:tc>
      </w:tr>
      <w:tr w14:paraId="48EFD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6"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00BA3396">
            <w:pPr>
              <w:wordWrap w:val="0"/>
              <w:spacing w:line="6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c>
          <w:tcPr>
            <w:tcW w:w="7485" w:type="dxa"/>
            <w:gridSpan w:val="7"/>
            <w:tcBorders>
              <w:top w:val="single" w:color="auto" w:sz="4" w:space="0"/>
              <w:left w:val="single" w:color="auto" w:sz="4" w:space="0"/>
              <w:bottom w:val="single" w:color="auto" w:sz="4" w:space="0"/>
              <w:right w:val="single" w:color="auto" w:sz="4" w:space="0"/>
            </w:tcBorders>
            <w:vAlign w:val="center"/>
          </w:tcPr>
          <w:p w14:paraId="28955E02">
            <w:pPr>
              <w:wordWrap w:val="0"/>
              <w:spacing w:line="600" w:lineRule="auto"/>
              <w:jc w:val="center"/>
              <w:rPr>
                <w:rFonts w:hint="eastAsia" w:ascii="宋体" w:hAnsi="宋体" w:eastAsia="宋体" w:cs="宋体"/>
                <w:sz w:val="24"/>
                <w:szCs w:val="24"/>
                <w:highlight w:val="none"/>
              </w:rPr>
            </w:pPr>
          </w:p>
        </w:tc>
      </w:tr>
      <w:tr w14:paraId="6B86C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6"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13015249">
            <w:pPr>
              <w:wordWrap w:val="0"/>
              <w:spacing w:line="6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c>
          <w:tcPr>
            <w:tcW w:w="7485" w:type="dxa"/>
            <w:gridSpan w:val="7"/>
            <w:tcBorders>
              <w:top w:val="single" w:color="auto" w:sz="4" w:space="0"/>
              <w:left w:val="single" w:color="auto" w:sz="4" w:space="0"/>
              <w:bottom w:val="single" w:color="auto" w:sz="4" w:space="0"/>
              <w:right w:val="single" w:color="auto" w:sz="4" w:space="0"/>
            </w:tcBorders>
            <w:vAlign w:val="center"/>
          </w:tcPr>
          <w:p w14:paraId="4EC0405D">
            <w:pPr>
              <w:pStyle w:val="27"/>
              <w:spacing w:line="600" w:lineRule="auto"/>
              <w:ind w:left="0" w:firstLine="0" w:firstLineChars="0"/>
              <w:rPr>
                <w:rFonts w:hint="eastAsia" w:ascii="宋体" w:hAnsi="宋体" w:eastAsia="宋体" w:cs="宋体"/>
                <w:sz w:val="24"/>
                <w:szCs w:val="24"/>
                <w:highlight w:val="none"/>
              </w:rPr>
            </w:pPr>
          </w:p>
        </w:tc>
      </w:tr>
      <w:tr w14:paraId="4CB7E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jc w:val="center"/>
        </w:trPr>
        <w:tc>
          <w:tcPr>
            <w:tcW w:w="1454" w:type="dxa"/>
            <w:tcBorders>
              <w:top w:val="single" w:color="auto" w:sz="4" w:space="0"/>
              <w:left w:val="single" w:color="auto" w:sz="4" w:space="0"/>
              <w:bottom w:val="single" w:color="auto" w:sz="4" w:space="0"/>
              <w:right w:val="single" w:color="auto" w:sz="4" w:space="0"/>
            </w:tcBorders>
          </w:tcPr>
          <w:p w14:paraId="2D46A947">
            <w:pPr>
              <w:wordWrap w:val="0"/>
              <w:spacing w:line="6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7485" w:type="dxa"/>
            <w:gridSpan w:val="7"/>
            <w:tcBorders>
              <w:top w:val="single" w:color="auto" w:sz="4" w:space="0"/>
              <w:left w:val="single" w:color="auto" w:sz="4" w:space="0"/>
              <w:bottom w:val="single" w:color="auto" w:sz="4" w:space="0"/>
              <w:right w:val="single" w:color="auto" w:sz="4" w:space="0"/>
            </w:tcBorders>
          </w:tcPr>
          <w:p w14:paraId="552DA784">
            <w:pPr>
              <w:wordWrap w:val="0"/>
              <w:spacing w:line="600" w:lineRule="auto"/>
              <w:ind w:firstLine="420"/>
              <w:jc w:val="left"/>
              <w:rPr>
                <w:rFonts w:hint="eastAsia" w:ascii="宋体" w:hAnsi="宋体" w:eastAsia="宋体" w:cs="宋体"/>
                <w:sz w:val="24"/>
                <w:szCs w:val="24"/>
                <w:highlight w:val="none"/>
              </w:rPr>
            </w:pPr>
          </w:p>
        </w:tc>
      </w:tr>
    </w:tbl>
    <w:p w14:paraId="055E1A4B">
      <w:pPr>
        <w:wordWrap w:val="0"/>
        <w:spacing w:line="360" w:lineRule="auto"/>
        <w:jc w:val="left"/>
        <w:rPr>
          <w:rFonts w:ascii="宋体"/>
          <w:b/>
          <w:sz w:val="20"/>
          <w:highlight w:val="none"/>
        </w:rPr>
      </w:pPr>
      <w:r>
        <w:rPr>
          <w:rFonts w:hint="eastAsia" w:ascii="宋体" w:hAnsi="宋体" w:eastAsia="宋体" w:cs="宋体"/>
          <w:sz w:val="24"/>
          <w:szCs w:val="24"/>
          <w:highlight w:val="none"/>
        </w:rPr>
        <w:t>备注：本表后应附供应商营业执照副本</w:t>
      </w:r>
      <w:r>
        <w:rPr>
          <w:rFonts w:hint="eastAsia" w:ascii="宋体" w:hAnsi="宋体" w:eastAsia="宋体" w:cs="宋体"/>
          <w:kern w:val="0"/>
          <w:sz w:val="24"/>
          <w:szCs w:val="24"/>
          <w:highlight w:val="none"/>
        </w:rPr>
        <w:t>等</w:t>
      </w:r>
      <w:r>
        <w:rPr>
          <w:rFonts w:hint="eastAsia" w:ascii="宋体" w:hAnsi="宋体" w:eastAsia="宋体" w:cs="宋体"/>
          <w:sz w:val="24"/>
          <w:szCs w:val="24"/>
          <w:highlight w:val="none"/>
        </w:rPr>
        <w:t>证件为复印件加盖单位公章。</w:t>
      </w:r>
    </w:p>
    <w:p w14:paraId="0181CA7C">
      <w:pPr>
        <w:wordWrap w:val="0"/>
        <w:spacing w:line="360" w:lineRule="auto"/>
        <w:jc w:val="center"/>
        <w:textAlignment w:val="baseline"/>
        <w:rPr>
          <w:rFonts w:ascii="宋体" w:hAnsi="宋体"/>
          <w:b/>
          <w:sz w:val="24"/>
          <w:szCs w:val="24"/>
          <w:highlight w:val="none"/>
        </w:rPr>
      </w:pPr>
    </w:p>
    <w:p w14:paraId="57631B36">
      <w:pPr>
        <w:pStyle w:val="27"/>
        <w:ind w:firstLine="640"/>
        <w:rPr>
          <w:highlight w:val="none"/>
        </w:rPr>
      </w:pPr>
    </w:p>
    <w:p w14:paraId="13A26D71">
      <w:pPr>
        <w:pStyle w:val="27"/>
        <w:ind w:left="0" w:leftChars="0" w:firstLine="0" w:firstLineChars="0"/>
        <w:rPr>
          <w:highlight w:val="none"/>
        </w:rPr>
      </w:pPr>
    </w:p>
    <w:p w14:paraId="1A04DB53">
      <w:pPr>
        <w:numPr>
          <w:ilvl w:val="0"/>
          <w:numId w:val="0"/>
        </w:numPr>
        <w:spacing w:line="420" w:lineRule="exact"/>
        <w:ind w:leftChars="0"/>
        <w:jc w:val="center"/>
        <w:outlineLvl w:val="1"/>
        <w:rPr>
          <w:rFonts w:hint="eastAsia" w:asciiTheme="minorEastAsia" w:hAnsiTheme="minorEastAsia" w:eastAsiaTheme="minorEastAsia" w:cstheme="minorEastAsia"/>
          <w:b/>
          <w:bCs/>
          <w:sz w:val="28"/>
          <w:szCs w:val="28"/>
          <w:highlight w:val="none"/>
          <w:lang w:eastAsia="zh-CN"/>
        </w:rPr>
      </w:pPr>
      <w:bookmarkStart w:id="136" w:name="_Toc5081"/>
      <w:r>
        <w:rPr>
          <w:rFonts w:hint="eastAsia" w:ascii="宋体" w:hAnsi="宋体"/>
          <w:b/>
          <w:bCs w:val="0"/>
          <w:sz w:val="28"/>
          <w:szCs w:val="28"/>
          <w:highlight w:val="none"/>
          <w:lang w:eastAsia="zh-CN"/>
        </w:rPr>
        <w:t>七</w:t>
      </w:r>
      <w:bookmarkEnd w:id="136"/>
      <w:bookmarkStart w:id="137" w:name="_Toc487790687"/>
      <w:bookmarkStart w:id="138" w:name="_Toc9887"/>
      <w:r>
        <w:rPr>
          <w:rFonts w:hint="eastAsia" w:asciiTheme="minorEastAsia" w:hAnsiTheme="minorEastAsia" w:eastAsiaTheme="minorEastAsia" w:cstheme="minorEastAsia"/>
          <w:b/>
          <w:bCs/>
          <w:sz w:val="28"/>
          <w:szCs w:val="28"/>
          <w:highlight w:val="none"/>
          <w:lang w:eastAsia="zh-CN"/>
        </w:rPr>
        <w:t>、</w:t>
      </w:r>
      <w:bookmarkEnd w:id="137"/>
      <w:bookmarkEnd w:id="138"/>
      <w:r>
        <w:rPr>
          <w:rFonts w:hint="eastAsia" w:asciiTheme="minorEastAsia" w:hAnsiTheme="minorEastAsia" w:eastAsiaTheme="minorEastAsia" w:cstheme="minorEastAsia"/>
          <w:b/>
          <w:bCs/>
          <w:sz w:val="28"/>
          <w:szCs w:val="28"/>
          <w:highlight w:val="none"/>
          <w:lang w:eastAsia="zh-CN"/>
        </w:rPr>
        <w:t>供应商业绩</w:t>
      </w:r>
    </w:p>
    <w:p w14:paraId="6A1F7662">
      <w:pPr>
        <w:numPr>
          <w:ilvl w:val="0"/>
          <w:numId w:val="0"/>
        </w:numPr>
        <w:spacing w:line="420" w:lineRule="exact"/>
        <w:ind w:leftChars="0"/>
        <w:jc w:val="center"/>
        <w:outlineLvl w:val="1"/>
        <w:rPr>
          <w:rFonts w:hint="eastAsia" w:asciiTheme="minorEastAsia" w:hAnsiTheme="minorEastAsia" w:eastAsiaTheme="minorEastAsia" w:cstheme="minorEastAsia"/>
          <w:b/>
          <w:bCs/>
          <w:sz w:val="28"/>
          <w:szCs w:val="28"/>
          <w:highlight w:val="none"/>
          <w:lang w:val="en-US" w:eastAsia="zh-CN"/>
        </w:rPr>
      </w:pPr>
    </w:p>
    <w:p w14:paraId="5B5227A3">
      <w:pPr>
        <w:numPr>
          <w:ilvl w:val="0"/>
          <w:numId w:val="0"/>
        </w:numPr>
        <w:spacing w:line="420" w:lineRule="exact"/>
        <w:ind w:leftChars="0"/>
        <w:jc w:val="center"/>
        <w:outlineLvl w:val="1"/>
        <w:rPr>
          <w:rFonts w:hint="eastAsia" w:asciiTheme="minorEastAsia" w:hAnsiTheme="minorEastAsia" w:eastAsiaTheme="minorEastAsia" w:cstheme="minorEastAsia"/>
          <w:b/>
          <w:bCs/>
          <w:sz w:val="28"/>
          <w:szCs w:val="28"/>
          <w:highlight w:val="none"/>
          <w:lang w:val="en-US" w:eastAsia="zh-CN"/>
        </w:rPr>
      </w:pPr>
    </w:p>
    <w:p w14:paraId="360B5322">
      <w:pPr>
        <w:jc w:val="center"/>
        <w:rPr>
          <w:rFonts w:hint="eastAsia" w:ascii="宋体" w:hAnsi="宋体" w:eastAsia="宋体" w:cs="宋体"/>
          <w:sz w:val="23"/>
          <w:szCs w:val="23"/>
          <w:highlight w:val="none"/>
          <w:lang w:eastAsia="zh-CN"/>
        </w:rPr>
      </w:pPr>
      <w:r>
        <w:rPr>
          <w:rFonts w:hint="eastAsia" w:ascii="宋体" w:hAnsi="宋体" w:eastAsia="宋体" w:cs="宋体"/>
          <w:sz w:val="23"/>
          <w:szCs w:val="23"/>
          <w:highlight w:val="none"/>
          <w:lang w:eastAsia="zh-CN"/>
        </w:rPr>
        <w:t>（注：格式自拟，根据资格要求、采购需求及评分标准来提交相关</w:t>
      </w:r>
      <w:r>
        <w:rPr>
          <w:rFonts w:hint="eastAsia" w:ascii="宋体" w:hAnsi="宋体" w:cs="宋体"/>
          <w:sz w:val="23"/>
          <w:szCs w:val="23"/>
          <w:highlight w:val="none"/>
        </w:rPr>
        <w:t>证明文件</w:t>
      </w:r>
      <w:r>
        <w:rPr>
          <w:rFonts w:hint="eastAsia" w:ascii="宋体" w:hAnsi="宋体" w:eastAsia="宋体" w:cs="宋体"/>
          <w:sz w:val="23"/>
          <w:szCs w:val="23"/>
          <w:highlight w:val="none"/>
          <w:lang w:eastAsia="zh-CN"/>
        </w:rPr>
        <w:t>。)</w:t>
      </w:r>
    </w:p>
    <w:p w14:paraId="35E76B10">
      <w:pPr>
        <w:numPr>
          <w:ilvl w:val="0"/>
          <w:numId w:val="0"/>
        </w:numPr>
        <w:spacing w:line="420" w:lineRule="exact"/>
        <w:ind w:leftChars="0"/>
        <w:jc w:val="center"/>
        <w:outlineLvl w:val="1"/>
        <w:rPr>
          <w:rFonts w:hint="eastAsia" w:ascii="宋体" w:hAnsi="宋体"/>
          <w:b/>
          <w:bCs w:val="0"/>
          <w:sz w:val="28"/>
          <w:szCs w:val="28"/>
          <w:highlight w:val="none"/>
          <w:lang w:eastAsia="zh-CN"/>
        </w:rPr>
      </w:pPr>
    </w:p>
    <w:p w14:paraId="12044EF6">
      <w:pPr>
        <w:numPr>
          <w:ilvl w:val="0"/>
          <w:numId w:val="0"/>
        </w:numPr>
        <w:spacing w:line="420" w:lineRule="exact"/>
        <w:ind w:leftChars="0"/>
        <w:jc w:val="center"/>
        <w:outlineLvl w:val="1"/>
        <w:rPr>
          <w:rFonts w:hint="eastAsia" w:ascii="宋体" w:hAnsi="宋体"/>
          <w:b/>
          <w:bCs w:val="0"/>
          <w:sz w:val="28"/>
          <w:szCs w:val="28"/>
          <w:highlight w:val="none"/>
          <w:lang w:eastAsia="zh-CN"/>
        </w:rPr>
      </w:pPr>
    </w:p>
    <w:p w14:paraId="080B2836">
      <w:pPr>
        <w:numPr>
          <w:ilvl w:val="0"/>
          <w:numId w:val="0"/>
        </w:numPr>
        <w:spacing w:line="420" w:lineRule="exact"/>
        <w:ind w:leftChars="0"/>
        <w:jc w:val="center"/>
        <w:outlineLvl w:val="1"/>
        <w:rPr>
          <w:rFonts w:hint="eastAsia" w:ascii="宋体" w:hAnsi="宋体"/>
          <w:b/>
          <w:bCs w:val="0"/>
          <w:sz w:val="28"/>
          <w:szCs w:val="28"/>
          <w:highlight w:val="none"/>
          <w:lang w:eastAsia="zh-CN"/>
        </w:rPr>
      </w:pPr>
    </w:p>
    <w:p w14:paraId="0F17B018">
      <w:pPr>
        <w:numPr>
          <w:ilvl w:val="0"/>
          <w:numId w:val="0"/>
        </w:numPr>
        <w:spacing w:line="420" w:lineRule="exact"/>
        <w:ind w:leftChars="0"/>
        <w:jc w:val="center"/>
        <w:outlineLvl w:val="1"/>
        <w:rPr>
          <w:rFonts w:hint="eastAsia" w:ascii="宋体" w:hAnsi="宋体"/>
          <w:b/>
          <w:bCs w:val="0"/>
          <w:sz w:val="28"/>
          <w:szCs w:val="28"/>
          <w:highlight w:val="none"/>
          <w:lang w:eastAsia="zh-CN"/>
        </w:rPr>
      </w:pPr>
    </w:p>
    <w:p w14:paraId="3DFA8FB9">
      <w:pPr>
        <w:numPr>
          <w:ilvl w:val="0"/>
          <w:numId w:val="0"/>
        </w:numPr>
        <w:spacing w:line="420" w:lineRule="exact"/>
        <w:ind w:leftChars="0"/>
        <w:jc w:val="center"/>
        <w:outlineLvl w:val="1"/>
        <w:rPr>
          <w:rFonts w:hint="eastAsia" w:ascii="宋体" w:hAnsi="宋体"/>
          <w:b/>
          <w:bCs w:val="0"/>
          <w:sz w:val="28"/>
          <w:szCs w:val="28"/>
          <w:highlight w:val="none"/>
          <w:lang w:eastAsia="zh-CN"/>
        </w:rPr>
      </w:pPr>
    </w:p>
    <w:p w14:paraId="18CC78B1">
      <w:pPr>
        <w:numPr>
          <w:ilvl w:val="0"/>
          <w:numId w:val="0"/>
        </w:numPr>
        <w:spacing w:line="420" w:lineRule="exact"/>
        <w:ind w:leftChars="0"/>
        <w:jc w:val="center"/>
        <w:outlineLvl w:val="1"/>
        <w:rPr>
          <w:rFonts w:hint="eastAsia" w:ascii="宋体" w:hAnsi="宋体"/>
          <w:b/>
          <w:bCs w:val="0"/>
          <w:sz w:val="28"/>
          <w:szCs w:val="28"/>
          <w:highlight w:val="none"/>
          <w:lang w:eastAsia="zh-CN"/>
        </w:rPr>
      </w:pPr>
    </w:p>
    <w:p w14:paraId="48756D88">
      <w:pPr>
        <w:numPr>
          <w:ilvl w:val="0"/>
          <w:numId w:val="0"/>
        </w:numPr>
        <w:spacing w:line="420" w:lineRule="exact"/>
        <w:ind w:leftChars="0"/>
        <w:jc w:val="center"/>
        <w:outlineLvl w:val="1"/>
        <w:rPr>
          <w:rFonts w:hint="eastAsia" w:ascii="宋体" w:hAnsi="宋体"/>
          <w:b/>
          <w:bCs w:val="0"/>
          <w:sz w:val="28"/>
          <w:szCs w:val="28"/>
          <w:highlight w:val="none"/>
          <w:lang w:eastAsia="zh-CN"/>
        </w:rPr>
      </w:pPr>
    </w:p>
    <w:p w14:paraId="79AC82E5">
      <w:pPr>
        <w:numPr>
          <w:ilvl w:val="0"/>
          <w:numId w:val="0"/>
        </w:numPr>
        <w:spacing w:line="420" w:lineRule="exact"/>
        <w:ind w:leftChars="0"/>
        <w:jc w:val="center"/>
        <w:outlineLvl w:val="1"/>
        <w:rPr>
          <w:rFonts w:hint="eastAsia" w:ascii="宋体" w:hAnsi="宋体"/>
          <w:b/>
          <w:bCs w:val="0"/>
          <w:sz w:val="28"/>
          <w:szCs w:val="28"/>
          <w:highlight w:val="none"/>
          <w:lang w:eastAsia="zh-CN"/>
        </w:rPr>
      </w:pPr>
    </w:p>
    <w:p w14:paraId="5F47A77F">
      <w:pPr>
        <w:numPr>
          <w:ilvl w:val="0"/>
          <w:numId w:val="0"/>
        </w:numPr>
        <w:spacing w:line="420" w:lineRule="exact"/>
        <w:ind w:leftChars="0"/>
        <w:jc w:val="center"/>
        <w:outlineLvl w:val="1"/>
        <w:rPr>
          <w:rFonts w:hint="eastAsia" w:ascii="宋体" w:hAnsi="宋体"/>
          <w:b/>
          <w:bCs w:val="0"/>
          <w:sz w:val="28"/>
          <w:szCs w:val="28"/>
          <w:highlight w:val="none"/>
          <w:lang w:eastAsia="zh-CN"/>
        </w:rPr>
      </w:pPr>
    </w:p>
    <w:p w14:paraId="55F2683A">
      <w:pPr>
        <w:numPr>
          <w:ilvl w:val="0"/>
          <w:numId w:val="0"/>
        </w:numPr>
        <w:spacing w:line="420" w:lineRule="exact"/>
        <w:ind w:leftChars="0"/>
        <w:jc w:val="both"/>
        <w:outlineLvl w:val="1"/>
        <w:rPr>
          <w:rFonts w:hint="eastAsia" w:ascii="宋体" w:hAnsi="宋体"/>
          <w:b/>
          <w:bCs w:val="0"/>
          <w:sz w:val="28"/>
          <w:szCs w:val="28"/>
          <w:highlight w:val="none"/>
          <w:lang w:eastAsia="zh-CN"/>
        </w:rPr>
      </w:pPr>
    </w:p>
    <w:p w14:paraId="1CF7BB0D">
      <w:pPr>
        <w:numPr>
          <w:ilvl w:val="0"/>
          <w:numId w:val="0"/>
        </w:numPr>
        <w:spacing w:line="420" w:lineRule="exact"/>
        <w:ind w:leftChars="0"/>
        <w:jc w:val="center"/>
        <w:outlineLvl w:val="1"/>
        <w:rPr>
          <w:rFonts w:hint="eastAsia" w:ascii="宋体" w:hAnsi="宋体"/>
          <w:b/>
          <w:bCs w:val="0"/>
          <w:sz w:val="28"/>
          <w:szCs w:val="28"/>
          <w:highlight w:val="none"/>
          <w:lang w:eastAsia="zh-CN"/>
        </w:rPr>
      </w:pPr>
    </w:p>
    <w:p w14:paraId="77413E8D">
      <w:pPr>
        <w:numPr>
          <w:ilvl w:val="0"/>
          <w:numId w:val="0"/>
        </w:numPr>
        <w:spacing w:line="420" w:lineRule="exact"/>
        <w:ind w:leftChars="0"/>
        <w:jc w:val="center"/>
        <w:outlineLvl w:val="1"/>
        <w:rPr>
          <w:rFonts w:hint="eastAsia" w:ascii="宋体" w:hAnsi="宋体"/>
          <w:b/>
          <w:bCs w:val="0"/>
          <w:sz w:val="28"/>
          <w:szCs w:val="28"/>
          <w:highlight w:val="none"/>
          <w:lang w:eastAsia="zh-CN"/>
        </w:rPr>
      </w:pPr>
    </w:p>
    <w:p w14:paraId="3782F7C4">
      <w:pPr>
        <w:numPr>
          <w:ilvl w:val="0"/>
          <w:numId w:val="0"/>
        </w:numPr>
        <w:spacing w:line="420" w:lineRule="exact"/>
        <w:ind w:leftChars="0"/>
        <w:jc w:val="center"/>
        <w:outlineLvl w:val="1"/>
        <w:rPr>
          <w:rFonts w:hint="eastAsia" w:ascii="宋体" w:hAnsi="宋体"/>
          <w:b/>
          <w:bCs w:val="0"/>
          <w:sz w:val="28"/>
          <w:szCs w:val="28"/>
          <w:highlight w:val="none"/>
          <w:lang w:eastAsia="zh-CN"/>
        </w:rPr>
      </w:pPr>
    </w:p>
    <w:p w14:paraId="6A7ABCEE">
      <w:pPr>
        <w:numPr>
          <w:ilvl w:val="0"/>
          <w:numId w:val="0"/>
        </w:numPr>
        <w:spacing w:line="420" w:lineRule="exact"/>
        <w:ind w:leftChars="0"/>
        <w:jc w:val="center"/>
        <w:outlineLvl w:val="1"/>
        <w:rPr>
          <w:rFonts w:hint="eastAsia" w:asciiTheme="minorEastAsia" w:hAnsiTheme="minorEastAsia" w:eastAsiaTheme="minorEastAsia" w:cstheme="minorEastAsia"/>
          <w:b/>
          <w:bCs/>
          <w:sz w:val="28"/>
          <w:szCs w:val="28"/>
          <w:highlight w:val="none"/>
          <w:lang w:val="en-US" w:eastAsia="zh-CN"/>
        </w:rPr>
      </w:pPr>
      <w:r>
        <w:rPr>
          <w:rFonts w:hint="eastAsia" w:ascii="宋体" w:hAnsi="宋体"/>
          <w:b/>
          <w:bCs w:val="0"/>
          <w:sz w:val="28"/>
          <w:szCs w:val="28"/>
          <w:highlight w:val="none"/>
          <w:lang w:eastAsia="zh-CN"/>
        </w:rPr>
        <w:t>八</w:t>
      </w:r>
      <w:r>
        <w:rPr>
          <w:rFonts w:hint="eastAsia" w:asciiTheme="minorEastAsia" w:hAnsiTheme="minorEastAsia" w:eastAsiaTheme="minorEastAsia" w:cstheme="minorEastAsia"/>
          <w:b/>
          <w:bCs/>
          <w:sz w:val="28"/>
          <w:szCs w:val="28"/>
          <w:highlight w:val="none"/>
          <w:lang w:eastAsia="zh-CN"/>
        </w:rPr>
        <w:t>、企业实力</w:t>
      </w:r>
    </w:p>
    <w:p w14:paraId="4D1D3986">
      <w:pPr>
        <w:pStyle w:val="26"/>
        <w:numPr>
          <w:ilvl w:val="0"/>
          <w:numId w:val="0"/>
        </w:numPr>
        <w:ind w:leftChars="0" w:right="-21" w:rightChars="-10"/>
      </w:pPr>
    </w:p>
    <w:p w14:paraId="03477321">
      <w:pPr>
        <w:jc w:val="center"/>
        <w:rPr>
          <w:rFonts w:hint="eastAsia" w:ascii="宋体" w:hAnsi="宋体" w:eastAsia="宋体" w:cs="宋体"/>
          <w:sz w:val="23"/>
          <w:szCs w:val="23"/>
          <w:highlight w:val="none"/>
          <w:lang w:eastAsia="zh-CN"/>
        </w:rPr>
      </w:pPr>
      <w:r>
        <w:rPr>
          <w:rFonts w:hint="eastAsia" w:ascii="宋体" w:hAnsi="宋体" w:eastAsia="宋体" w:cs="宋体"/>
          <w:sz w:val="23"/>
          <w:szCs w:val="23"/>
          <w:highlight w:val="none"/>
          <w:lang w:eastAsia="zh-CN"/>
        </w:rPr>
        <w:t>（注：格式自拟，根据资格要求、采购需求及评分标准来提交相关</w:t>
      </w:r>
      <w:r>
        <w:rPr>
          <w:rFonts w:hint="eastAsia" w:ascii="宋体" w:hAnsi="宋体" w:cs="宋体"/>
          <w:sz w:val="23"/>
          <w:szCs w:val="23"/>
          <w:highlight w:val="none"/>
        </w:rPr>
        <w:t>证明文件</w:t>
      </w:r>
      <w:r>
        <w:rPr>
          <w:rFonts w:hint="eastAsia" w:ascii="宋体" w:hAnsi="宋体" w:eastAsia="宋体" w:cs="宋体"/>
          <w:sz w:val="23"/>
          <w:szCs w:val="23"/>
          <w:highlight w:val="none"/>
          <w:lang w:eastAsia="zh-CN"/>
        </w:rPr>
        <w:t>。)</w:t>
      </w:r>
    </w:p>
    <w:p w14:paraId="3F0F198A">
      <w:pPr>
        <w:numPr>
          <w:ilvl w:val="0"/>
          <w:numId w:val="0"/>
        </w:numPr>
        <w:spacing w:line="420" w:lineRule="exact"/>
        <w:ind w:leftChars="0"/>
        <w:jc w:val="center"/>
        <w:outlineLvl w:val="1"/>
        <w:rPr>
          <w:rFonts w:hint="eastAsia" w:ascii="宋体" w:hAnsi="宋体"/>
          <w:b/>
          <w:bCs w:val="0"/>
          <w:sz w:val="28"/>
          <w:szCs w:val="28"/>
          <w:highlight w:val="none"/>
          <w:lang w:eastAsia="zh-CN"/>
        </w:rPr>
      </w:pPr>
    </w:p>
    <w:p w14:paraId="60BE6C5C">
      <w:pPr>
        <w:spacing w:line="360" w:lineRule="auto"/>
        <w:jc w:val="both"/>
        <w:rPr>
          <w:rFonts w:hint="eastAsia" w:ascii="宋体" w:hAnsi="宋体" w:eastAsia="宋体" w:cs="宋体"/>
          <w:sz w:val="23"/>
          <w:szCs w:val="23"/>
          <w:highlight w:val="none"/>
          <w:lang w:eastAsia="zh-CN"/>
        </w:rPr>
      </w:pPr>
      <w:r>
        <w:rPr>
          <w:rFonts w:hint="eastAsia" w:ascii="宋体" w:hAnsi="宋体" w:eastAsia="宋体" w:cs="宋体"/>
          <w:sz w:val="23"/>
          <w:szCs w:val="23"/>
          <w:highlight w:val="none"/>
          <w:lang w:eastAsia="zh-CN"/>
        </w:rPr>
        <w:t>包含但不限于如下内容：</w:t>
      </w:r>
    </w:p>
    <w:p w14:paraId="7C7C41FA">
      <w:pPr>
        <w:spacing w:line="360" w:lineRule="auto"/>
        <w:jc w:val="both"/>
        <w:rPr>
          <w:rFonts w:hint="eastAsia" w:ascii="宋体" w:hAnsi="宋体" w:eastAsia="宋体" w:cs="宋体"/>
          <w:b/>
          <w:bCs/>
          <w:sz w:val="23"/>
          <w:szCs w:val="23"/>
          <w:highlight w:val="none"/>
          <w:lang w:eastAsia="zh-CN"/>
        </w:rPr>
      </w:pPr>
      <w:r>
        <w:rPr>
          <w:rFonts w:hint="eastAsia" w:ascii="宋体" w:hAnsi="宋体" w:eastAsia="宋体" w:cs="宋体"/>
          <w:b/>
          <w:bCs/>
          <w:sz w:val="23"/>
          <w:szCs w:val="23"/>
          <w:highlight w:val="none"/>
          <w:lang w:eastAsia="zh-CN"/>
        </w:rPr>
        <w:t>一、</w:t>
      </w:r>
      <w:r>
        <w:rPr>
          <w:rFonts w:hint="eastAsia" w:ascii="宋体" w:hAnsi="宋体" w:cs="宋体"/>
          <w:b/>
          <w:bCs/>
          <w:sz w:val="23"/>
          <w:szCs w:val="23"/>
          <w:highlight w:val="none"/>
          <w:lang w:eastAsia="zh-CN"/>
        </w:rPr>
        <w:t>供应商所获得的认证证书等扫描件</w:t>
      </w:r>
      <w:r>
        <w:rPr>
          <w:rFonts w:hint="eastAsia" w:ascii="宋体" w:hAnsi="宋体" w:eastAsia="宋体" w:cs="宋体"/>
          <w:b/>
          <w:bCs/>
          <w:sz w:val="23"/>
          <w:szCs w:val="23"/>
          <w:highlight w:val="none"/>
          <w:lang w:eastAsia="zh-CN"/>
        </w:rPr>
        <w:t>；</w:t>
      </w:r>
    </w:p>
    <w:p w14:paraId="62BA4168">
      <w:pPr>
        <w:spacing w:line="360" w:lineRule="auto"/>
        <w:jc w:val="both"/>
        <w:rPr>
          <w:rFonts w:hint="eastAsia" w:ascii="宋体" w:hAnsi="宋体" w:eastAsia="宋体" w:cs="宋体"/>
          <w:sz w:val="23"/>
          <w:szCs w:val="23"/>
          <w:highlight w:val="none"/>
          <w:lang w:eastAsia="zh-CN"/>
        </w:rPr>
      </w:pPr>
      <w:r>
        <w:rPr>
          <w:rFonts w:hint="eastAsia" w:ascii="宋体" w:hAnsi="宋体" w:eastAsia="宋体" w:cs="宋体"/>
          <w:b/>
          <w:bCs/>
          <w:sz w:val="23"/>
          <w:szCs w:val="23"/>
          <w:highlight w:val="none"/>
          <w:lang w:eastAsia="zh-CN"/>
        </w:rPr>
        <w:t>二、</w:t>
      </w:r>
      <w:r>
        <w:rPr>
          <w:rFonts w:hint="eastAsia" w:ascii="宋体" w:hAnsi="宋体" w:cs="宋体"/>
          <w:b/>
          <w:bCs/>
          <w:sz w:val="23"/>
          <w:szCs w:val="23"/>
          <w:highlight w:val="none"/>
          <w:lang w:eastAsia="zh-CN"/>
        </w:rPr>
        <w:t>供应商所获得的荣誉及奖项证明等。</w:t>
      </w:r>
    </w:p>
    <w:p w14:paraId="01D5893B">
      <w:pPr>
        <w:numPr>
          <w:ilvl w:val="0"/>
          <w:numId w:val="0"/>
        </w:numPr>
        <w:spacing w:line="420" w:lineRule="exact"/>
        <w:ind w:leftChars="0"/>
        <w:jc w:val="center"/>
        <w:outlineLvl w:val="1"/>
        <w:rPr>
          <w:rFonts w:hint="eastAsia" w:ascii="宋体" w:hAnsi="宋体"/>
          <w:b/>
          <w:bCs w:val="0"/>
          <w:sz w:val="28"/>
          <w:szCs w:val="28"/>
          <w:highlight w:val="none"/>
          <w:lang w:eastAsia="zh-CN"/>
        </w:rPr>
      </w:pPr>
    </w:p>
    <w:p w14:paraId="63C02F88">
      <w:pPr>
        <w:numPr>
          <w:ilvl w:val="0"/>
          <w:numId w:val="0"/>
        </w:numPr>
        <w:spacing w:line="420" w:lineRule="exact"/>
        <w:ind w:leftChars="0"/>
        <w:jc w:val="center"/>
        <w:outlineLvl w:val="1"/>
        <w:rPr>
          <w:rFonts w:hint="eastAsia" w:ascii="宋体" w:hAnsi="宋体"/>
          <w:b/>
          <w:bCs w:val="0"/>
          <w:sz w:val="28"/>
          <w:szCs w:val="28"/>
          <w:highlight w:val="none"/>
          <w:lang w:eastAsia="zh-CN"/>
        </w:rPr>
      </w:pPr>
    </w:p>
    <w:p w14:paraId="7D26473A">
      <w:pPr>
        <w:numPr>
          <w:ilvl w:val="0"/>
          <w:numId w:val="0"/>
        </w:numPr>
        <w:spacing w:line="420" w:lineRule="exact"/>
        <w:ind w:leftChars="0"/>
        <w:jc w:val="center"/>
        <w:outlineLvl w:val="1"/>
        <w:rPr>
          <w:rFonts w:hint="eastAsia" w:ascii="宋体" w:hAnsi="宋体"/>
          <w:b/>
          <w:bCs w:val="0"/>
          <w:sz w:val="28"/>
          <w:szCs w:val="28"/>
          <w:highlight w:val="none"/>
          <w:lang w:eastAsia="zh-CN"/>
        </w:rPr>
      </w:pPr>
    </w:p>
    <w:p w14:paraId="37DDFD30">
      <w:pPr>
        <w:numPr>
          <w:ilvl w:val="0"/>
          <w:numId w:val="0"/>
        </w:numPr>
        <w:spacing w:line="420" w:lineRule="exact"/>
        <w:ind w:leftChars="0"/>
        <w:jc w:val="center"/>
        <w:outlineLvl w:val="1"/>
        <w:rPr>
          <w:rFonts w:hint="eastAsia" w:ascii="宋体" w:hAnsi="宋体"/>
          <w:b/>
          <w:bCs w:val="0"/>
          <w:sz w:val="28"/>
          <w:szCs w:val="28"/>
          <w:highlight w:val="none"/>
          <w:lang w:eastAsia="zh-CN"/>
        </w:rPr>
      </w:pPr>
    </w:p>
    <w:p w14:paraId="31D729E8">
      <w:pPr>
        <w:numPr>
          <w:ilvl w:val="0"/>
          <w:numId w:val="0"/>
        </w:numPr>
        <w:spacing w:line="420" w:lineRule="exact"/>
        <w:ind w:leftChars="0"/>
        <w:jc w:val="both"/>
        <w:outlineLvl w:val="1"/>
        <w:rPr>
          <w:rFonts w:hint="eastAsia" w:ascii="宋体" w:hAnsi="宋体"/>
          <w:b/>
          <w:bCs w:val="0"/>
          <w:sz w:val="28"/>
          <w:szCs w:val="28"/>
          <w:highlight w:val="none"/>
          <w:lang w:eastAsia="zh-CN"/>
        </w:rPr>
      </w:pPr>
    </w:p>
    <w:p w14:paraId="4507889B">
      <w:pPr>
        <w:numPr>
          <w:ilvl w:val="0"/>
          <w:numId w:val="0"/>
        </w:numPr>
        <w:spacing w:line="420" w:lineRule="exact"/>
        <w:ind w:leftChars="0"/>
        <w:jc w:val="center"/>
        <w:outlineLvl w:val="1"/>
        <w:rPr>
          <w:rFonts w:hint="eastAsia" w:ascii="宋体" w:hAnsi="宋体"/>
          <w:b/>
          <w:bCs w:val="0"/>
          <w:sz w:val="28"/>
          <w:szCs w:val="28"/>
          <w:highlight w:val="none"/>
          <w:lang w:eastAsia="zh-CN"/>
        </w:rPr>
      </w:pPr>
    </w:p>
    <w:p w14:paraId="719B40E0">
      <w:pPr>
        <w:numPr>
          <w:ilvl w:val="0"/>
          <w:numId w:val="0"/>
        </w:numPr>
        <w:spacing w:line="420" w:lineRule="exact"/>
        <w:ind w:leftChars="0"/>
        <w:jc w:val="center"/>
        <w:outlineLvl w:val="1"/>
        <w:rPr>
          <w:rFonts w:hint="eastAsia" w:ascii="宋体" w:hAnsi="宋体"/>
          <w:b/>
          <w:bCs w:val="0"/>
          <w:sz w:val="28"/>
          <w:szCs w:val="28"/>
          <w:highlight w:val="none"/>
          <w:lang w:eastAsia="zh-CN"/>
        </w:rPr>
      </w:pPr>
    </w:p>
    <w:p w14:paraId="7269F6AE">
      <w:pPr>
        <w:numPr>
          <w:ilvl w:val="0"/>
          <w:numId w:val="0"/>
        </w:numPr>
        <w:spacing w:line="420" w:lineRule="exact"/>
        <w:ind w:leftChars="0"/>
        <w:jc w:val="center"/>
        <w:outlineLvl w:val="1"/>
        <w:rPr>
          <w:rFonts w:hint="eastAsia" w:ascii="宋体" w:hAnsi="宋体"/>
          <w:b/>
          <w:bCs w:val="0"/>
          <w:sz w:val="28"/>
          <w:szCs w:val="28"/>
          <w:highlight w:val="none"/>
          <w:lang w:eastAsia="zh-CN"/>
        </w:rPr>
      </w:pPr>
    </w:p>
    <w:p w14:paraId="15463787">
      <w:pPr>
        <w:numPr>
          <w:ilvl w:val="0"/>
          <w:numId w:val="0"/>
        </w:numPr>
        <w:spacing w:line="420" w:lineRule="exact"/>
        <w:ind w:leftChars="0"/>
        <w:jc w:val="center"/>
        <w:outlineLvl w:val="1"/>
        <w:rPr>
          <w:rFonts w:hint="eastAsia" w:ascii="宋体" w:hAnsi="宋体"/>
          <w:b/>
          <w:bCs w:val="0"/>
          <w:sz w:val="28"/>
          <w:szCs w:val="28"/>
          <w:highlight w:val="none"/>
          <w:lang w:eastAsia="zh-CN"/>
        </w:rPr>
      </w:pPr>
    </w:p>
    <w:p w14:paraId="7C8349AD">
      <w:pPr>
        <w:numPr>
          <w:ilvl w:val="0"/>
          <w:numId w:val="0"/>
        </w:numPr>
        <w:spacing w:line="420" w:lineRule="exact"/>
        <w:ind w:leftChars="0"/>
        <w:jc w:val="center"/>
        <w:outlineLvl w:val="1"/>
        <w:rPr>
          <w:rFonts w:hint="eastAsia" w:asciiTheme="minorEastAsia" w:hAnsiTheme="minorEastAsia" w:eastAsiaTheme="minorEastAsia" w:cstheme="minorEastAsia"/>
          <w:b/>
          <w:bCs/>
          <w:sz w:val="28"/>
          <w:szCs w:val="28"/>
          <w:highlight w:val="none"/>
          <w:lang w:eastAsia="zh-CN"/>
        </w:rPr>
      </w:pPr>
      <w:r>
        <w:rPr>
          <w:rFonts w:hint="eastAsia" w:ascii="宋体" w:hAnsi="宋体"/>
          <w:b/>
          <w:bCs w:val="0"/>
          <w:sz w:val="28"/>
          <w:szCs w:val="28"/>
          <w:highlight w:val="none"/>
          <w:lang w:eastAsia="zh-CN"/>
        </w:rPr>
        <w:t>九</w:t>
      </w:r>
      <w:r>
        <w:rPr>
          <w:rFonts w:hint="eastAsia" w:asciiTheme="minorEastAsia" w:hAnsiTheme="minorEastAsia" w:eastAsiaTheme="minorEastAsia" w:cstheme="minorEastAsia"/>
          <w:b/>
          <w:bCs/>
          <w:sz w:val="28"/>
          <w:szCs w:val="28"/>
          <w:highlight w:val="none"/>
          <w:lang w:eastAsia="zh-CN"/>
        </w:rPr>
        <w:t>、</w:t>
      </w:r>
      <w:bookmarkEnd w:id="122"/>
      <w:r>
        <w:rPr>
          <w:rFonts w:hint="eastAsia" w:asciiTheme="minorEastAsia" w:hAnsiTheme="minorEastAsia" w:eastAsiaTheme="minorEastAsia" w:cstheme="minorEastAsia"/>
          <w:b/>
          <w:bCs/>
          <w:sz w:val="28"/>
          <w:szCs w:val="28"/>
          <w:highlight w:val="none"/>
          <w:lang w:eastAsia="zh-CN"/>
        </w:rPr>
        <w:t>服务方案及承诺</w:t>
      </w:r>
    </w:p>
    <w:p w14:paraId="75DCA814">
      <w:pPr>
        <w:pStyle w:val="26"/>
        <w:numPr>
          <w:ilvl w:val="0"/>
          <w:numId w:val="0"/>
        </w:numPr>
        <w:ind w:leftChars="0" w:right="-21" w:rightChars="-10"/>
        <w:jc w:val="center"/>
      </w:pPr>
    </w:p>
    <w:p w14:paraId="25AE70EB">
      <w:pPr>
        <w:spacing w:before="120" w:line="560" w:lineRule="exact"/>
        <w:ind w:right="357"/>
        <w:jc w:val="center"/>
        <w:outlineLvl w:val="1"/>
        <w:rPr>
          <w:rFonts w:hint="eastAsia" w:ascii="宋体" w:hAnsi="宋体" w:cs="宋体"/>
          <w:b w:val="0"/>
          <w:bCs w:val="0"/>
          <w:sz w:val="23"/>
          <w:szCs w:val="23"/>
          <w:highlight w:val="none"/>
        </w:rPr>
      </w:pPr>
      <w:r>
        <w:rPr>
          <w:rFonts w:hint="eastAsia" w:ascii="宋体" w:hAnsi="宋体" w:cs="宋体"/>
          <w:b w:val="0"/>
          <w:bCs w:val="0"/>
          <w:sz w:val="23"/>
          <w:szCs w:val="23"/>
          <w:highlight w:val="none"/>
        </w:rPr>
        <w:t>（注：格式自拟，根据</w:t>
      </w:r>
      <w:r>
        <w:rPr>
          <w:rFonts w:hint="eastAsia" w:ascii="宋体" w:hAnsi="宋体" w:cs="宋体"/>
          <w:b w:val="0"/>
          <w:bCs w:val="0"/>
          <w:sz w:val="23"/>
          <w:szCs w:val="23"/>
          <w:highlight w:val="none"/>
          <w:lang w:eastAsia="zh-CN"/>
        </w:rPr>
        <w:t>磋商文件中评分办法的要求</w:t>
      </w:r>
      <w:r>
        <w:rPr>
          <w:rFonts w:hint="eastAsia" w:ascii="宋体" w:hAnsi="宋体" w:cs="宋体"/>
          <w:b w:val="0"/>
          <w:bCs w:val="0"/>
          <w:sz w:val="23"/>
          <w:szCs w:val="23"/>
          <w:highlight w:val="none"/>
        </w:rPr>
        <w:t>来提交相关证明文件。)</w:t>
      </w:r>
    </w:p>
    <w:p w14:paraId="4A4D6FEC">
      <w:pPr>
        <w:jc w:val="center"/>
        <w:rPr>
          <w:rFonts w:hint="eastAsia" w:ascii="宋体" w:hAnsi="宋体" w:eastAsia="宋体" w:cs="宋体"/>
          <w:sz w:val="23"/>
          <w:szCs w:val="23"/>
          <w:highlight w:val="none"/>
          <w:lang w:eastAsia="zh-CN"/>
        </w:rPr>
      </w:pPr>
    </w:p>
    <w:p w14:paraId="75E3CB3C">
      <w:pPr>
        <w:spacing w:line="360" w:lineRule="auto"/>
        <w:jc w:val="both"/>
        <w:rPr>
          <w:rFonts w:hint="eastAsia" w:ascii="宋体" w:hAnsi="宋体" w:eastAsia="宋体" w:cs="宋体"/>
          <w:sz w:val="23"/>
          <w:szCs w:val="23"/>
          <w:highlight w:val="none"/>
          <w:lang w:eastAsia="zh-CN"/>
        </w:rPr>
      </w:pPr>
      <w:r>
        <w:rPr>
          <w:rFonts w:hint="eastAsia" w:ascii="宋体" w:hAnsi="宋体" w:eastAsia="宋体" w:cs="宋体"/>
          <w:sz w:val="23"/>
          <w:szCs w:val="23"/>
          <w:highlight w:val="none"/>
          <w:lang w:eastAsia="zh-CN"/>
        </w:rPr>
        <w:t>包含但不限于如下内容：</w:t>
      </w:r>
    </w:p>
    <w:p w14:paraId="38B6CEFC">
      <w:pPr>
        <w:spacing w:line="360" w:lineRule="auto"/>
        <w:jc w:val="both"/>
        <w:rPr>
          <w:rFonts w:hint="eastAsia" w:ascii="宋体" w:hAnsi="宋体" w:eastAsia="宋体" w:cs="宋体"/>
          <w:b/>
          <w:bCs/>
          <w:sz w:val="23"/>
          <w:szCs w:val="23"/>
          <w:highlight w:val="none"/>
          <w:lang w:eastAsia="zh-CN"/>
        </w:rPr>
      </w:pPr>
      <w:r>
        <w:rPr>
          <w:rFonts w:hint="eastAsia" w:ascii="宋体" w:hAnsi="宋体" w:eastAsia="宋体" w:cs="宋体"/>
          <w:b/>
          <w:bCs/>
          <w:sz w:val="23"/>
          <w:szCs w:val="23"/>
          <w:highlight w:val="none"/>
          <w:lang w:eastAsia="zh-CN"/>
        </w:rPr>
        <w:t>一、</w:t>
      </w:r>
      <w:r>
        <w:rPr>
          <w:rFonts w:hint="eastAsia" w:ascii="宋体" w:hAnsi="宋体" w:cs="宋体"/>
          <w:b/>
          <w:bCs/>
          <w:sz w:val="23"/>
          <w:szCs w:val="23"/>
          <w:highlight w:val="none"/>
          <w:lang w:eastAsia="zh-CN"/>
        </w:rPr>
        <w:t>服务方案</w:t>
      </w:r>
      <w:r>
        <w:rPr>
          <w:rFonts w:hint="eastAsia" w:ascii="宋体" w:hAnsi="宋体" w:eastAsia="宋体" w:cs="宋体"/>
          <w:b/>
          <w:bCs/>
          <w:sz w:val="23"/>
          <w:szCs w:val="23"/>
          <w:highlight w:val="none"/>
          <w:lang w:eastAsia="zh-CN"/>
        </w:rPr>
        <w:t>；</w:t>
      </w:r>
    </w:p>
    <w:p w14:paraId="5076E0CD">
      <w:pPr>
        <w:spacing w:line="360" w:lineRule="auto"/>
        <w:jc w:val="both"/>
        <w:rPr>
          <w:rFonts w:hint="eastAsia" w:ascii="宋体" w:hAnsi="宋体" w:eastAsia="宋体" w:cs="宋体"/>
          <w:sz w:val="23"/>
          <w:szCs w:val="23"/>
          <w:highlight w:val="none"/>
          <w:lang w:eastAsia="zh-CN"/>
        </w:rPr>
      </w:pPr>
      <w:r>
        <w:rPr>
          <w:rFonts w:hint="eastAsia" w:ascii="宋体" w:hAnsi="宋体" w:eastAsia="宋体" w:cs="宋体"/>
          <w:b/>
          <w:bCs/>
          <w:sz w:val="23"/>
          <w:szCs w:val="23"/>
          <w:highlight w:val="none"/>
          <w:lang w:eastAsia="zh-CN"/>
        </w:rPr>
        <w:t>二、</w:t>
      </w:r>
      <w:r>
        <w:rPr>
          <w:rFonts w:hint="eastAsia" w:ascii="宋体" w:hAnsi="宋体" w:cs="宋体"/>
          <w:b/>
          <w:bCs/>
          <w:sz w:val="23"/>
          <w:szCs w:val="23"/>
          <w:highlight w:val="none"/>
          <w:lang w:eastAsia="zh-CN"/>
        </w:rPr>
        <w:t>售后团队配备方案</w:t>
      </w:r>
      <w:r>
        <w:rPr>
          <w:rFonts w:hint="eastAsia" w:ascii="宋体" w:hAnsi="宋体" w:eastAsia="宋体" w:cs="宋体"/>
          <w:b/>
          <w:bCs/>
          <w:sz w:val="23"/>
          <w:szCs w:val="23"/>
          <w:highlight w:val="none"/>
          <w:lang w:eastAsia="zh-CN"/>
        </w:rPr>
        <w:t>；</w:t>
      </w:r>
    </w:p>
    <w:p w14:paraId="4AE11924">
      <w:pPr>
        <w:spacing w:line="360" w:lineRule="auto"/>
        <w:jc w:val="both"/>
        <w:rPr>
          <w:rFonts w:hint="eastAsia" w:ascii="宋体" w:hAnsi="宋体" w:cs="宋体"/>
          <w:b/>
          <w:bCs/>
          <w:sz w:val="23"/>
          <w:szCs w:val="23"/>
          <w:highlight w:val="none"/>
          <w:lang w:eastAsia="zh-CN"/>
        </w:rPr>
      </w:pPr>
      <w:r>
        <w:rPr>
          <w:rFonts w:hint="eastAsia" w:ascii="宋体" w:hAnsi="宋体" w:cs="宋体"/>
          <w:b/>
          <w:bCs/>
          <w:sz w:val="23"/>
          <w:szCs w:val="23"/>
          <w:highlight w:val="none"/>
          <w:lang w:eastAsia="zh-CN"/>
        </w:rPr>
        <w:t>三</w:t>
      </w:r>
      <w:r>
        <w:rPr>
          <w:rFonts w:hint="eastAsia" w:ascii="宋体" w:hAnsi="宋体" w:eastAsia="宋体" w:cs="宋体"/>
          <w:b/>
          <w:bCs/>
          <w:sz w:val="23"/>
          <w:szCs w:val="23"/>
          <w:highlight w:val="none"/>
          <w:lang w:eastAsia="zh-CN"/>
        </w:rPr>
        <w:t>、</w:t>
      </w:r>
      <w:r>
        <w:rPr>
          <w:rFonts w:hint="eastAsia" w:ascii="宋体" w:hAnsi="宋体" w:cs="宋体"/>
          <w:b/>
          <w:bCs/>
          <w:sz w:val="23"/>
          <w:szCs w:val="23"/>
          <w:highlight w:val="none"/>
          <w:lang w:eastAsia="zh-CN"/>
        </w:rPr>
        <w:t>突发状况应对方案；</w:t>
      </w:r>
    </w:p>
    <w:p w14:paraId="4BC6E1EA">
      <w:pPr>
        <w:spacing w:line="360" w:lineRule="auto"/>
        <w:jc w:val="both"/>
        <w:rPr>
          <w:rFonts w:hint="eastAsia" w:ascii="宋体" w:hAnsi="宋体" w:cs="宋体"/>
          <w:b/>
          <w:bCs/>
          <w:sz w:val="23"/>
          <w:szCs w:val="23"/>
          <w:highlight w:val="none"/>
          <w:lang w:eastAsia="zh-CN"/>
        </w:rPr>
      </w:pPr>
      <w:r>
        <w:rPr>
          <w:rFonts w:hint="eastAsia" w:ascii="宋体" w:hAnsi="宋体" w:cs="宋体"/>
          <w:b/>
          <w:bCs/>
          <w:sz w:val="23"/>
          <w:szCs w:val="23"/>
          <w:highlight w:val="none"/>
          <w:lang w:eastAsia="zh-CN"/>
        </w:rPr>
        <w:t>四</w:t>
      </w:r>
      <w:r>
        <w:rPr>
          <w:rFonts w:hint="eastAsia" w:ascii="宋体" w:hAnsi="宋体" w:eastAsia="宋体" w:cs="宋体"/>
          <w:b/>
          <w:bCs/>
          <w:sz w:val="23"/>
          <w:szCs w:val="23"/>
          <w:highlight w:val="none"/>
          <w:lang w:eastAsia="zh-CN"/>
        </w:rPr>
        <w:t>、</w:t>
      </w:r>
      <w:r>
        <w:rPr>
          <w:rFonts w:hint="eastAsia" w:ascii="宋体" w:hAnsi="宋体" w:cs="宋体"/>
          <w:b/>
          <w:bCs/>
          <w:sz w:val="23"/>
          <w:szCs w:val="23"/>
          <w:highlight w:val="none"/>
          <w:lang w:eastAsia="zh-CN"/>
        </w:rPr>
        <w:t>其他；</w:t>
      </w:r>
    </w:p>
    <w:p w14:paraId="3F10E42C">
      <w:pPr>
        <w:spacing w:line="360" w:lineRule="auto"/>
        <w:jc w:val="both"/>
        <w:rPr>
          <w:rFonts w:hint="eastAsia" w:ascii="宋体" w:hAnsi="宋体" w:cs="宋体"/>
          <w:b/>
          <w:bCs/>
          <w:sz w:val="23"/>
          <w:szCs w:val="23"/>
          <w:highlight w:val="none"/>
          <w:lang w:eastAsia="zh-CN"/>
        </w:rPr>
      </w:pPr>
    </w:p>
    <w:p w14:paraId="0ADEA707">
      <w:pPr>
        <w:jc w:val="center"/>
        <w:rPr>
          <w:rFonts w:hint="eastAsia" w:ascii="宋体" w:hAnsi="宋体" w:eastAsia="宋体" w:cs="宋体"/>
          <w:sz w:val="23"/>
          <w:szCs w:val="23"/>
          <w:highlight w:val="none"/>
          <w:lang w:eastAsia="zh-CN"/>
        </w:rPr>
      </w:pPr>
    </w:p>
    <w:p w14:paraId="65B63D26">
      <w:pPr>
        <w:jc w:val="center"/>
        <w:rPr>
          <w:rFonts w:hint="eastAsia" w:ascii="宋体" w:hAnsi="宋体" w:eastAsia="宋体" w:cs="宋体"/>
          <w:sz w:val="23"/>
          <w:szCs w:val="23"/>
          <w:highlight w:val="none"/>
          <w:lang w:eastAsia="zh-CN"/>
        </w:rPr>
      </w:pPr>
    </w:p>
    <w:p w14:paraId="58B551A6">
      <w:pPr>
        <w:jc w:val="center"/>
        <w:rPr>
          <w:rFonts w:hint="eastAsia" w:ascii="宋体" w:hAnsi="宋体" w:eastAsia="宋体" w:cs="宋体"/>
          <w:sz w:val="23"/>
          <w:szCs w:val="23"/>
          <w:highlight w:val="none"/>
          <w:lang w:eastAsia="zh-CN"/>
        </w:rPr>
      </w:pPr>
    </w:p>
    <w:p w14:paraId="3903316C">
      <w:pPr>
        <w:jc w:val="center"/>
        <w:rPr>
          <w:rFonts w:hint="eastAsia" w:ascii="宋体" w:hAnsi="宋体" w:eastAsia="宋体" w:cs="宋体"/>
          <w:sz w:val="23"/>
          <w:szCs w:val="23"/>
          <w:highlight w:val="none"/>
          <w:lang w:eastAsia="zh-CN"/>
        </w:rPr>
      </w:pPr>
    </w:p>
    <w:p w14:paraId="7796C710">
      <w:pPr>
        <w:numPr>
          <w:ilvl w:val="0"/>
          <w:numId w:val="0"/>
        </w:numPr>
        <w:spacing w:line="420" w:lineRule="exact"/>
        <w:ind w:leftChars="0"/>
        <w:jc w:val="center"/>
        <w:outlineLvl w:val="1"/>
        <w:rPr>
          <w:rFonts w:hint="eastAsia" w:asciiTheme="minorEastAsia" w:hAnsiTheme="minorEastAsia" w:eastAsiaTheme="minorEastAsia" w:cstheme="minorEastAsia"/>
          <w:b/>
          <w:bCs/>
          <w:sz w:val="28"/>
          <w:szCs w:val="28"/>
          <w:highlight w:val="none"/>
          <w:lang w:eastAsia="zh-CN"/>
        </w:rPr>
      </w:pPr>
    </w:p>
    <w:p w14:paraId="42AC6363">
      <w:pP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br w:type="page"/>
      </w:r>
    </w:p>
    <w:p w14:paraId="2D760BD3">
      <w:pPr>
        <w:numPr>
          <w:ilvl w:val="0"/>
          <w:numId w:val="0"/>
        </w:numPr>
        <w:spacing w:line="420" w:lineRule="exact"/>
        <w:ind w:leftChars="0"/>
        <w:jc w:val="center"/>
        <w:outlineLvl w:val="1"/>
        <w:rPr>
          <w:rFonts w:hint="eastAsia" w:asciiTheme="minorEastAsia" w:hAnsiTheme="minorEastAsia" w:eastAsiaTheme="minorEastAsia" w:cstheme="minorEastAsia"/>
          <w:b/>
          <w:bCs/>
          <w:sz w:val="28"/>
          <w:szCs w:val="28"/>
          <w:highlight w:val="none"/>
          <w:lang w:eastAsia="zh-CN"/>
        </w:rPr>
      </w:pPr>
    </w:p>
    <w:p w14:paraId="739FD683">
      <w:pPr>
        <w:numPr>
          <w:ilvl w:val="0"/>
          <w:numId w:val="0"/>
        </w:numPr>
        <w:spacing w:line="420" w:lineRule="exact"/>
        <w:ind w:leftChars="0"/>
        <w:jc w:val="center"/>
        <w:outlineLvl w:val="1"/>
        <w:rPr>
          <w:rFonts w:hint="eastAsia" w:ascii="宋体" w:hAnsi="宋体" w:eastAsia="宋体"/>
          <w:b/>
          <w:bCs w:val="0"/>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十、</w:t>
      </w:r>
      <w:r>
        <w:rPr>
          <w:rFonts w:hint="eastAsia" w:ascii="宋体" w:hAnsi="宋体" w:eastAsia="宋体"/>
          <w:b/>
          <w:bCs w:val="0"/>
          <w:sz w:val="28"/>
          <w:szCs w:val="28"/>
          <w:highlight w:val="none"/>
          <w:lang w:eastAsia="zh-CN"/>
        </w:rPr>
        <w:t>其他需要补充的资料</w:t>
      </w:r>
    </w:p>
    <w:p w14:paraId="349976DE">
      <w:pPr>
        <w:numPr>
          <w:ilvl w:val="0"/>
          <w:numId w:val="0"/>
        </w:numPr>
        <w:spacing w:before="120" w:line="360" w:lineRule="auto"/>
        <w:ind w:right="357" w:rightChars="0"/>
        <w:jc w:val="both"/>
        <w:outlineLvl w:val="1"/>
        <w:rPr>
          <w:rFonts w:hint="eastAsia" w:ascii="宋体" w:hAnsi="宋体" w:eastAsia="宋体"/>
          <w:b/>
          <w:bCs w:val="0"/>
          <w:sz w:val="28"/>
          <w:szCs w:val="28"/>
          <w:highlight w:val="none"/>
          <w:lang w:eastAsia="zh-CN"/>
        </w:rPr>
      </w:pPr>
    </w:p>
    <w:p w14:paraId="24313E1F">
      <w:pPr>
        <w:spacing w:line="360" w:lineRule="auto"/>
        <w:jc w:val="center"/>
        <w:rPr>
          <w:rFonts w:hint="eastAsia" w:ascii="宋体" w:hAnsi="宋体" w:eastAsia="宋体" w:cs="宋体"/>
          <w:sz w:val="23"/>
          <w:szCs w:val="23"/>
          <w:highlight w:val="none"/>
          <w:lang w:eastAsia="zh-CN"/>
        </w:rPr>
      </w:pPr>
      <w:r>
        <w:rPr>
          <w:rFonts w:hint="eastAsia" w:ascii="宋体" w:hAnsi="宋体" w:eastAsia="宋体" w:cs="宋体"/>
          <w:sz w:val="23"/>
          <w:szCs w:val="23"/>
          <w:highlight w:val="none"/>
          <w:lang w:eastAsia="zh-CN"/>
        </w:rPr>
        <w:t>（注：格式自拟，根据资格要求、采购需求及评分标准来提交相关</w:t>
      </w:r>
      <w:r>
        <w:rPr>
          <w:rFonts w:hint="eastAsia" w:ascii="宋体" w:hAnsi="宋体" w:cs="宋体"/>
          <w:sz w:val="23"/>
          <w:szCs w:val="23"/>
          <w:highlight w:val="none"/>
        </w:rPr>
        <w:t>证明文件</w:t>
      </w:r>
      <w:r>
        <w:rPr>
          <w:rFonts w:hint="eastAsia" w:ascii="宋体" w:hAnsi="宋体" w:eastAsia="宋体" w:cs="宋体"/>
          <w:sz w:val="23"/>
          <w:szCs w:val="23"/>
          <w:highlight w:val="none"/>
          <w:lang w:eastAsia="zh-CN"/>
        </w:rPr>
        <w:t>。)</w:t>
      </w:r>
    </w:p>
    <w:p w14:paraId="72C5D3BE">
      <w:pPr>
        <w:numPr>
          <w:ilvl w:val="0"/>
          <w:numId w:val="0"/>
        </w:numPr>
        <w:spacing w:before="120" w:line="360" w:lineRule="auto"/>
        <w:ind w:right="357" w:rightChars="0"/>
        <w:jc w:val="both"/>
        <w:outlineLvl w:val="1"/>
        <w:rPr>
          <w:rFonts w:hint="eastAsia" w:ascii="宋体" w:hAnsi="宋体" w:eastAsia="宋体"/>
          <w:b/>
          <w:bCs w:val="0"/>
          <w:sz w:val="28"/>
          <w:szCs w:val="28"/>
          <w:highlight w:val="none"/>
          <w:lang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FangSong_GB2312">
    <w:altName w:val="仿宋"/>
    <w:panose1 w:val="02010609060101010101"/>
    <w:charset w:val="86"/>
    <w:family w:val="modern"/>
    <w:pitch w:val="default"/>
    <w:sig w:usb0="00000000" w:usb1="00000000" w:usb2="00000016" w:usb3="00000000" w:csb0="00040001" w:csb1="00000000"/>
  </w:font>
  <w:font w:name="宋?">
    <w:altName w:val="宋体"/>
    <w:panose1 w:val="00000000000000000000"/>
    <w:charset w:val="81"/>
    <w:family w:val="roman"/>
    <w:pitch w:val="default"/>
    <w:sig w:usb0="00000000" w:usb1="00000000" w:usb2="00000010" w:usb3="00000000" w:csb0="00080000" w:csb1="00000000"/>
  </w:font>
  <w:font w:name="Helvetica">
    <w:altName w:val="Arial"/>
    <w:panose1 w:val="020B0504020202020204"/>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AA045">
    <w:pPr>
      <w:pStyle w:val="18"/>
      <w:rPr>
        <w:rStyle w:val="31"/>
        <w:rFonts w:ascii="宋体" w:hAnsi="宋体"/>
      </w:rPr>
    </w:pPr>
  </w:p>
  <w:p w14:paraId="4C1AAF53">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2F63B">
    <w:pPr>
      <w:pStyle w:val="18"/>
      <w:rPr>
        <w:rStyle w:val="31"/>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B9FDE2">
                          <w:pPr>
                            <w:pStyle w:val="1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10B9FDE2">
                    <w:pPr>
                      <w:pStyle w:val="18"/>
                    </w:pPr>
                    <w:r>
                      <w:fldChar w:fldCharType="begin"/>
                    </w:r>
                    <w:r>
                      <w:instrText xml:space="preserve"> PAGE  \* MERGEFORMAT </w:instrText>
                    </w:r>
                    <w:r>
                      <w:fldChar w:fldCharType="separate"/>
                    </w:r>
                    <w:r>
                      <w:t>56</w:t>
                    </w:r>
                    <w:r>
                      <w:fldChar w:fldCharType="end"/>
                    </w:r>
                  </w:p>
                </w:txbxContent>
              </v:textbox>
            </v:shape>
          </w:pict>
        </mc:Fallback>
      </mc:AlternateContent>
    </w:r>
  </w:p>
  <w:p w14:paraId="55FCA3C2">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E4AEF"/>
    <w:multiLevelType w:val="singleLevel"/>
    <w:tmpl w:val="C50E4AEF"/>
    <w:lvl w:ilvl="0" w:tentative="0">
      <w:start w:val="2"/>
      <w:numFmt w:val="chineseCounting"/>
      <w:suff w:val="nothing"/>
      <w:lvlText w:val="%1、"/>
      <w:lvlJc w:val="left"/>
      <w:rPr>
        <w:rFonts w:hint="eastAsia"/>
      </w:rPr>
    </w:lvl>
  </w:abstractNum>
  <w:abstractNum w:abstractNumId="1">
    <w:nsid w:val="D958AF0D"/>
    <w:multiLevelType w:val="singleLevel"/>
    <w:tmpl w:val="D958AF0D"/>
    <w:lvl w:ilvl="0" w:tentative="0">
      <w:start w:val="2"/>
      <w:numFmt w:val="chineseCounting"/>
      <w:suff w:val="nothing"/>
      <w:lvlText w:val="%1、"/>
      <w:lvlJc w:val="left"/>
      <w:rPr>
        <w:rFonts w:hint="eastAsia"/>
      </w:rPr>
    </w:lvl>
  </w:abstractNum>
  <w:abstractNum w:abstractNumId="2">
    <w:nsid w:val="41D3D7C8"/>
    <w:multiLevelType w:val="singleLevel"/>
    <w:tmpl w:val="41D3D7C8"/>
    <w:lvl w:ilvl="0" w:tentative="0">
      <w:start w:val="5"/>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ZDM4ZTc2MTNhNmU0OThmNGZjNzEzN2IxZGM1ODEifQ=="/>
  </w:docVars>
  <w:rsids>
    <w:rsidRoot w:val="35C5529C"/>
    <w:rsid w:val="00021C2E"/>
    <w:rsid w:val="0004299B"/>
    <w:rsid w:val="00050D3D"/>
    <w:rsid w:val="00056933"/>
    <w:rsid w:val="00061CC5"/>
    <w:rsid w:val="0006578F"/>
    <w:rsid w:val="000860B5"/>
    <w:rsid w:val="000C08D0"/>
    <w:rsid w:val="000D1396"/>
    <w:rsid w:val="001B3E75"/>
    <w:rsid w:val="001C3D1A"/>
    <w:rsid w:val="001D5545"/>
    <w:rsid w:val="0022740F"/>
    <w:rsid w:val="00241E94"/>
    <w:rsid w:val="00244542"/>
    <w:rsid w:val="0026379E"/>
    <w:rsid w:val="00285614"/>
    <w:rsid w:val="00286A0C"/>
    <w:rsid w:val="0029272D"/>
    <w:rsid w:val="002A1605"/>
    <w:rsid w:val="002B2035"/>
    <w:rsid w:val="002C6DF2"/>
    <w:rsid w:val="002F06E5"/>
    <w:rsid w:val="00303BF8"/>
    <w:rsid w:val="00335277"/>
    <w:rsid w:val="0035281B"/>
    <w:rsid w:val="003778DF"/>
    <w:rsid w:val="00397AB6"/>
    <w:rsid w:val="003B7463"/>
    <w:rsid w:val="003D698A"/>
    <w:rsid w:val="003E247B"/>
    <w:rsid w:val="003F2EE2"/>
    <w:rsid w:val="00413228"/>
    <w:rsid w:val="0042602C"/>
    <w:rsid w:val="0043669F"/>
    <w:rsid w:val="0044077B"/>
    <w:rsid w:val="0044375D"/>
    <w:rsid w:val="004709A9"/>
    <w:rsid w:val="00471F88"/>
    <w:rsid w:val="00474575"/>
    <w:rsid w:val="004C110B"/>
    <w:rsid w:val="004D7539"/>
    <w:rsid w:val="004E7214"/>
    <w:rsid w:val="004F6A38"/>
    <w:rsid w:val="00501777"/>
    <w:rsid w:val="00515D43"/>
    <w:rsid w:val="00515EFE"/>
    <w:rsid w:val="0054220C"/>
    <w:rsid w:val="005523D1"/>
    <w:rsid w:val="00560B7A"/>
    <w:rsid w:val="005619E8"/>
    <w:rsid w:val="00572D40"/>
    <w:rsid w:val="005804BF"/>
    <w:rsid w:val="00580A81"/>
    <w:rsid w:val="005B5F9E"/>
    <w:rsid w:val="005D1794"/>
    <w:rsid w:val="00600B7D"/>
    <w:rsid w:val="00607EF9"/>
    <w:rsid w:val="00640831"/>
    <w:rsid w:val="006453FE"/>
    <w:rsid w:val="00655E43"/>
    <w:rsid w:val="006562E1"/>
    <w:rsid w:val="006A3661"/>
    <w:rsid w:val="006E2E32"/>
    <w:rsid w:val="006E2EB1"/>
    <w:rsid w:val="006E3D5D"/>
    <w:rsid w:val="007002FC"/>
    <w:rsid w:val="00714882"/>
    <w:rsid w:val="00726E2B"/>
    <w:rsid w:val="0073264A"/>
    <w:rsid w:val="007446E2"/>
    <w:rsid w:val="007544F6"/>
    <w:rsid w:val="0076106D"/>
    <w:rsid w:val="007628E0"/>
    <w:rsid w:val="00764DB2"/>
    <w:rsid w:val="007661C6"/>
    <w:rsid w:val="007B2426"/>
    <w:rsid w:val="007B66A7"/>
    <w:rsid w:val="007D38B5"/>
    <w:rsid w:val="007F1761"/>
    <w:rsid w:val="00830557"/>
    <w:rsid w:val="008472C4"/>
    <w:rsid w:val="0086335D"/>
    <w:rsid w:val="008661B1"/>
    <w:rsid w:val="00887EB2"/>
    <w:rsid w:val="008A28DF"/>
    <w:rsid w:val="008E67C1"/>
    <w:rsid w:val="00915B6A"/>
    <w:rsid w:val="00934861"/>
    <w:rsid w:val="00947843"/>
    <w:rsid w:val="009610BB"/>
    <w:rsid w:val="0098649B"/>
    <w:rsid w:val="009A19B3"/>
    <w:rsid w:val="009B093E"/>
    <w:rsid w:val="009B1045"/>
    <w:rsid w:val="009B46EE"/>
    <w:rsid w:val="009D3A95"/>
    <w:rsid w:val="009E24E9"/>
    <w:rsid w:val="009F588A"/>
    <w:rsid w:val="009F73C4"/>
    <w:rsid w:val="00A1120B"/>
    <w:rsid w:val="00A510FD"/>
    <w:rsid w:val="00A56459"/>
    <w:rsid w:val="00A602D8"/>
    <w:rsid w:val="00A625D3"/>
    <w:rsid w:val="00A92C55"/>
    <w:rsid w:val="00A97A8E"/>
    <w:rsid w:val="00AA4B46"/>
    <w:rsid w:val="00AC68E2"/>
    <w:rsid w:val="00AE1D24"/>
    <w:rsid w:val="00B00815"/>
    <w:rsid w:val="00B41D3F"/>
    <w:rsid w:val="00B50188"/>
    <w:rsid w:val="00B52428"/>
    <w:rsid w:val="00B52557"/>
    <w:rsid w:val="00B71C31"/>
    <w:rsid w:val="00B864F6"/>
    <w:rsid w:val="00BA079A"/>
    <w:rsid w:val="00BB16E4"/>
    <w:rsid w:val="00BF3984"/>
    <w:rsid w:val="00C04B22"/>
    <w:rsid w:val="00C172C0"/>
    <w:rsid w:val="00C34776"/>
    <w:rsid w:val="00C434CF"/>
    <w:rsid w:val="00C4453F"/>
    <w:rsid w:val="00C47FE5"/>
    <w:rsid w:val="00C84AF8"/>
    <w:rsid w:val="00CA0526"/>
    <w:rsid w:val="00CC3718"/>
    <w:rsid w:val="00CD77BA"/>
    <w:rsid w:val="00CD7E1B"/>
    <w:rsid w:val="00CF3883"/>
    <w:rsid w:val="00CF7C45"/>
    <w:rsid w:val="00D00649"/>
    <w:rsid w:val="00D10D3E"/>
    <w:rsid w:val="00D33555"/>
    <w:rsid w:val="00D77CE2"/>
    <w:rsid w:val="00D80715"/>
    <w:rsid w:val="00D8253F"/>
    <w:rsid w:val="00D91A59"/>
    <w:rsid w:val="00D92AE7"/>
    <w:rsid w:val="00D93368"/>
    <w:rsid w:val="00DA7178"/>
    <w:rsid w:val="00DF0885"/>
    <w:rsid w:val="00DF534D"/>
    <w:rsid w:val="00E00B67"/>
    <w:rsid w:val="00E10B92"/>
    <w:rsid w:val="00E262B8"/>
    <w:rsid w:val="00E31FB3"/>
    <w:rsid w:val="00E56905"/>
    <w:rsid w:val="00E70ACF"/>
    <w:rsid w:val="00E75FFF"/>
    <w:rsid w:val="00E87A43"/>
    <w:rsid w:val="00EA190F"/>
    <w:rsid w:val="00EC6B28"/>
    <w:rsid w:val="00ED15D2"/>
    <w:rsid w:val="00ED3905"/>
    <w:rsid w:val="00F40590"/>
    <w:rsid w:val="00F7596F"/>
    <w:rsid w:val="00F9268E"/>
    <w:rsid w:val="00FA2248"/>
    <w:rsid w:val="00FC3B65"/>
    <w:rsid w:val="00FE149F"/>
    <w:rsid w:val="00FE2863"/>
    <w:rsid w:val="00FF6A24"/>
    <w:rsid w:val="012A6EED"/>
    <w:rsid w:val="01A37816"/>
    <w:rsid w:val="0239179D"/>
    <w:rsid w:val="028A270A"/>
    <w:rsid w:val="031F6136"/>
    <w:rsid w:val="03997322"/>
    <w:rsid w:val="046107A2"/>
    <w:rsid w:val="04C23EC4"/>
    <w:rsid w:val="053411A2"/>
    <w:rsid w:val="066A3694"/>
    <w:rsid w:val="06854E3A"/>
    <w:rsid w:val="06A17B91"/>
    <w:rsid w:val="06CA5F11"/>
    <w:rsid w:val="06CC7D6D"/>
    <w:rsid w:val="088704CB"/>
    <w:rsid w:val="0A7845C4"/>
    <w:rsid w:val="0ACD23CC"/>
    <w:rsid w:val="0AD55A7A"/>
    <w:rsid w:val="0B453357"/>
    <w:rsid w:val="0B5275C8"/>
    <w:rsid w:val="0C713575"/>
    <w:rsid w:val="0C7E090C"/>
    <w:rsid w:val="0E6E35BD"/>
    <w:rsid w:val="0F1C3778"/>
    <w:rsid w:val="0F58372D"/>
    <w:rsid w:val="0FC803F4"/>
    <w:rsid w:val="10007509"/>
    <w:rsid w:val="1061299F"/>
    <w:rsid w:val="10A207C0"/>
    <w:rsid w:val="10E16AB8"/>
    <w:rsid w:val="10E92AE1"/>
    <w:rsid w:val="11866FD6"/>
    <w:rsid w:val="11945026"/>
    <w:rsid w:val="11E37EB8"/>
    <w:rsid w:val="1267660A"/>
    <w:rsid w:val="12722550"/>
    <w:rsid w:val="13415CD9"/>
    <w:rsid w:val="136E3689"/>
    <w:rsid w:val="142632A1"/>
    <w:rsid w:val="142963B1"/>
    <w:rsid w:val="17136EEE"/>
    <w:rsid w:val="172A08BC"/>
    <w:rsid w:val="17492045"/>
    <w:rsid w:val="17621A05"/>
    <w:rsid w:val="176D14CE"/>
    <w:rsid w:val="17DB1786"/>
    <w:rsid w:val="17EE5C8E"/>
    <w:rsid w:val="185935C4"/>
    <w:rsid w:val="19522EE8"/>
    <w:rsid w:val="19704F4F"/>
    <w:rsid w:val="198F40DE"/>
    <w:rsid w:val="19CE286F"/>
    <w:rsid w:val="19D53F8B"/>
    <w:rsid w:val="1A9849CC"/>
    <w:rsid w:val="1AD5022F"/>
    <w:rsid w:val="1B4722D7"/>
    <w:rsid w:val="1BC72A22"/>
    <w:rsid w:val="1D186498"/>
    <w:rsid w:val="1DC37120"/>
    <w:rsid w:val="1DF8415C"/>
    <w:rsid w:val="1E071840"/>
    <w:rsid w:val="1E5E3531"/>
    <w:rsid w:val="1F076423"/>
    <w:rsid w:val="1FA02216"/>
    <w:rsid w:val="20A55AD3"/>
    <w:rsid w:val="211117B4"/>
    <w:rsid w:val="21D91677"/>
    <w:rsid w:val="22466E75"/>
    <w:rsid w:val="233A14AA"/>
    <w:rsid w:val="23DB37C7"/>
    <w:rsid w:val="23F821C0"/>
    <w:rsid w:val="2462375A"/>
    <w:rsid w:val="24C55D00"/>
    <w:rsid w:val="25BF1C0E"/>
    <w:rsid w:val="262762F9"/>
    <w:rsid w:val="2681583F"/>
    <w:rsid w:val="2688359D"/>
    <w:rsid w:val="26BA7466"/>
    <w:rsid w:val="271876DC"/>
    <w:rsid w:val="273B4E86"/>
    <w:rsid w:val="27611825"/>
    <w:rsid w:val="27B2417E"/>
    <w:rsid w:val="27BA0246"/>
    <w:rsid w:val="28542A49"/>
    <w:rsid w:val="28E556AD"/>
    <w:rsid w:val="292E28D7"/>
    <w:rsid w:val="293C51A6"/>
    <w:rsid w:val="29405DF1"/>
    <w:rsid w:val="29583A35"/>
    <w:rsid w:val="297D5782"/>
    <w:rsid w:val="29883BEF"/>
    <w:rsid w:val="29CD7995"/>
    <w:rsid w:val="29DC466E"/>
    <w:rsid w:val="29F1125C"/>
    <w:rsid w:val="2A6343EB"/>
    <w:rsid w:val="2A886B2D"/>
    <w:rsid w:val="2AA21C3D"/>
    <w:rsid w:val="2B067F52"/>
    <w:rsid w:val="2B3B482F"/>
    <w:rsid w:val="2BAE584E"/>
    <w:rsid w:val="2BDF7ACE"/>
    <w:rsid w:val="2C4D1012"/>
    <w:rsid w:val="2D6309FD"/>
    <w:rsid w:val="2D6D3D52"/>
    <w:rsid w:val="30416203"/>
    <w:rsid w:val="30C167DD"/>
    <w:rsid w:val="31120AED"/>
    <w:rsid w:val="31405965"/>
    <w:rsid w:val="33161CC5"/>
    <w:rsid w:val="3389210E"/>
    <w:rsid w:val="33DA0B5D"/>
    <w:rsid w:val="341A4F55"/>
    <w:rsid w:val="34C85167"/>
    <w:rsid w:val="35C5529C"/>
    <w:rsid w:val="35EB339A"/>
    <w:rsid w:val="35FF113D"/>
    <w:rsid w:val="366E73E4"/>
    <w:rsid w:val="36FA3E26"/>
    <w:rsid w:val="374674AE"/>
    <w:rsid w:val="37825166"/>
    <w:rsid w:val="38020499"/>
    <w:rsid w:val="38311F2C"/>
    <w:rsid w:val="38897562"/>
    <w:rsid w:val="3892336F"/>
    <w:rsid w:val="38E51C21"/>
    <w:rsid w:val="38F3053E"/>
    <w:rsid w:val="38F934C1"/>
    <w:rsid w:val="3A3209B7"/>
    <w:rsid w:val="3AE943E1"/>
    <w:rsid w:val="3C922707"/>
    <w:rsid w:val="3CCA2C7A"/>
    <w:rsid w:val="3DC554DC"/>
    <w:rsid w:val="3E7231A6"/>
    <w:rsid w:val="3E775A1B"/>
    <w:rsid w:val="3EA61F52"/>
    <w:rsid w:val="3F4327F6"/>
    <w:rsid w:val="3F853764"/>
    <w:rsid w:val="407E0D9E"/>
    <w:rsid w:val="411E6BE3"/>
    <w:rsid w:val="41DD5275"/>
    <w:rsid w:val="42010E5F"/>
    <w:rsid w:val="43CA2853"/>
    <w:rsid w:val="43CF3289"/>
    <w:rsid w:val="44CA5F74"/>
    <w:rsid w:val="44D45418"/>
    <w:rsid w:val="451B7CDE"/>
    <w:rsid w:val="45E501BF"/>
    <w:rsid w:val="478472F3"/>
    <w:rsid w:val="47E236A9"/>
    <w:rsid w:val="487718FF"/>
    <w:rsid w:val="48B62D15"/>
    <w:rsid w:val="49024F52"/>
    <w:rsid w:val="49715189"/>
    <w:rsid w:val="4A2319E6"/>
    <w:rsid w:val="4A4D14B0"/>
    <w:rsid w:val="4A802A45"/>
    <w:rsid w:val="4BA41822"/>
    <w:rsid w:val="4BE94DB7"/>
    <w:rsid w:val="4C042130"/>
    <w:rsid w:val="4C936489"/>
    <w:rsid w:val="4CB01724"/>
    <w:rsid w:val="4D9A3141"/>
    <w:rsid w:val="4DBC52F6"/>
    <w:rsid w:val="4DD317D6"/>
    <w:rsid w:val="4F8178BE"/>
    <w:rsid w:val="4F936ED3"/>
    <w:rsid w:val="4FAA2859"/>
    <w:rsid w:val="4FBB1F83"/>
    <w:rsid w:val="514D0B72"/>
    <w:rsid w:val="52315B49"/>
    <w:rsid w:val="52853014"/>
    <w:rsid w:val="52997047"/>
    <w:rsid w:val="52BB5D96"/>
    <w:rsid w:val="53663251"/>
    <w:rsid w:val="53717BEA"/>
    <w:rsid w:val="539A300B"/>
    <w:rsid w:val="53F3063D"/>
    <w:rsid w:val="54160DCE"/>
    <w:rsid w:val="569A683B"/>
    <w:rsid w:val="56B45AF0"/>
    <w:rsid w:val="585D2CB9"/>
    <w:rsid w:val="59356995"/>
    <w:rsid w:val="59410CD5"/>
    <w:rsid w:val="5A2C0804"/>
    <w:rsid w:val="5A705215"/>
    <w:rsid w:val="5A840069"/>
    <w:rsid w:val="5AD35D60"/>
    <w:rsid w:val="5B247B1F"/>
    <w:rsid w:val="5BC029E1"/>
    <w:rsid w:val="5BF3147D"/>
    <w:rsid w:val="5C7F7EFD"/>
    <w:rsid w:val="5CB130AC"/>
    <w:rsid w:val="5DA21E25"/>
    <w:rsid w:val="5F31543B"/>
    <w:rsid w:val="5F335712"/>
    <w:rsid w:val="5F4B4E54"/>
    <w:rsid w:val="5F52298D"/>
    <w:rsid w:val="5F716796"/>
    <w:rsid w:val="5FF07521"/>
    <w:rsid w:val="62735108"/>
    <w:rsid w:val="629A0789"/>
    <w:rsid w:val="63577633"/>
    <w:rsid w:val="6471739D"/>
    <w:rsid w:val="64AA03A4"/>
    <w:rsid w:val="651A03CB"/>
    <w:rsid w:val="665D57D3"/>
    <w:rsid w:val="66EE6161"/>
    <w:rsid w:val="67AF7E0B"/>
    <w:rsid w:val="67CB280E"/>
    <w:rsid w:val="67FB0C37"/>
    <w:rsid w:val="68C577B4"/>
    <w:rsid w:val="68DD1415"/>
    <w:rsid w:val="69D00A78"/>
    <w:rsid w:val="6A4061BB"/>
    <w:rsid w:val="6A846345"/>
    <w:rsid w:val="6A94222A"/>
    <w:rsid w:val="6B220B6A"/>
    <w:rsid w:val="6B6454E1"/>
    <w:rsid w:val="6BCE446B"/>
    <w:rsid w:val="6C993E95"/>
    <w:rsid w:val="6E3C3AC3"/>
    <w:rsid w:val="6ED07F92"/>
    <w:rsid w:val="6F2027E5"/>
    <w:rsid w:val="6F431BFA"/>
    <w:rsid w:val="700618BD"/>
    <w:rsid w:val="705D2FE3"/>
    <w:rsid w:val="70C2375B"/>
    <w:rsid w:val="70FF7AC3"/>
    <w:rsid w:val="7120444A"/>
    <w:rsid w:val="71C3104B"/>
    <w:rsid w:val="71ED7171"/>
    <w:rsid w:val="722C0B88"/>
    <w:rsid w:val="725C0F73"/>
    <w:rsid w:val="727510E5"/>
    <w:rsid w:val="72C454D6"/>
    <w:rsid w:val="72E5166A"/>
    <w:rsid w:val="73FE2774"/>
    <w:rsid w:val="740340D1"/>
    <w:rsid w:val="749F5F15"/>
    <w:rsid w:val="74AE143C"/>
    <w:rsid w:val="74E222FE"/>
    <w:rsid w:val="759975BD"/>
    <w:rsid w:val="76B76638"/>
    <w:rsid w:val="77D25D2E"/>
    <w:rsid w:val="77DD4DD1"/>
    <w:rsid w:val="78553D33"/>
    <w:rsid w:val="78CB2A5B"/>
    <w:rsid w:val="78E11753"/>
    <w:rsid w:val="7A0C0B58"/>
    <w:rsid w:val="7A75328D"/>
    <w:rsid w:val="7A960FFF"/>
    <w:rsid w:val="7AD4290A"/>
    <w:rsid w:val="7BBE2748"/>
    <w:rsid w:val="7CA817D8"/>
    <w:rsid w:val="7D562FD9"/>
    <w:rsid w:val="7D8D4F8A"/>
    <w:rsid w:val="7E625DB2"/>
    <w:rsid w:val="7E666671"/>
    <w:rsid w:val="7E946C75"/>
    <w:rsid w:val="7F5904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autoRedefine/>
    <w:qFormat/>
    <w:uiPriority w:val="0"/>
    <w:pPr>
      <w:keepNext/>
      <w:keepLines/>
      <w:spacing w:before="340" w:after="330" w:line="578" w:lineRule="auto"/>
      <w:outlineLvl w:val="0"/>
    </w:pPr>
    <w:rPr>
      <w:kern w:val="44"/>
      <w:sz w:val="30"/>
      <w:szCs w:val="44"/>
    </w:rPr>
  </w:style>
  <w:style w:type="paragraph" w:styleId="3">
    <w:name w:val="heading 2"/>
    <w:basedOn w:val="1"/>
    <w:next w:val="1"/>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jc w:val="center"/>
      <w:outlineLvl w:val="2"/>
    </w:pPr>
    <w:rPr>
      <w:rFonts w:ascii="宋体"/>
      <w:b/>
      <w:bCs/>
      <w:sz w:val="32"/>
      <w:szCs w:val="32"/>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rPr>
      <w:sz w:val="28"/>
      <w:szCs w:val="28"/>
    </w:rPr>
  </w:style>
  <w:style w:type="paragraph" w:styleId="6">
    <w:name w:val="Document Map"/>
    <w:basedOn w:val="1"/>
    <w:link w:val="60"/>
    <w:autoRedefine/>
    <w:qFormat/>
    <w:uiPriority w:val="0"/>
    <w:rPr>
      <w:rFonts w:ascii="宋体"/>
      <w:sz w:val="18"/>
      <w:szCs w:val="18"/>
    </w:rPr>
  </w:style>
  <w:style w:type="paragraph" w:styleId="7">
    <w:name w:val="annotation text"/>
    <w:basedOn w:val="1"/>
    <w:autoRedefine/>
    <w:qFormat/>
    <w:uiPriority w:val="0"/>
    <w:pPr>
      <w:jc w:val="left"/>
    </w:pPr>
  </w:style>
  <w:style w:type="paragraph" w:styleId="8">
    <w:name w:val="Body Text 3"/>
    <w:basedOn w:val="1"/>
    <w:autoRedefine/>
    <w:qFormat/>
    <w:uiPriority w:val="0"/>
    <w:rPr>
      <w:rFonts w:ascii="黑体" w:hAnsi="Arial" w:eastAsia="黑体"/>
      <w:b/>
      <w:sz w:val="28"/>
    </w:rPr>
  </w:style>
  <w:style w:type="paragraph" w:styleId="9">
    <w:name w:val="Body Text"/>
    <w:basedOn w:val="1"/>
    <w:next w:val="10"/>
    <w:autoRedefine/>
    <w:qFormat/>
    <w:uiPriority w:val="0"/>
    <w:rPr>
      <w:rFonts w:ascii="宋体" w:hAnsi="Arial"/>
      <w:sz w:val="28"/>
    </w:rPr>
  </w:style>
  <w:style w:type="paragraph" w:styleId="10">
    <w:name w:val="Title"/>
    <w:basedOn w:val="1"/>
    <w:next w:val="1"/>
    <w:autoRedefine/>
    <w:qFormat/>
    <w:uiPriority w:val="0"/>
    <w:pPr>
      <w:widowControl/>
      <w:jc w:val="center"/>
      <w:outlineLvl w:val="0"/>
    </w:pPr>
    <w:rPr>
      <w:rFonts w:ascii="Arial" w:hAnsi="Arial" w:cs="Arial"/>
      <w:b/>
      <w:bCs/>
      <w:kern w:val="0"/>
      <w:sz w:val="32"/>
      <w:szCs w:val="32"/>
    </w:rPr>
  </w:style>
  <w:style w:type="paragraph" w:styleId="11">
    <w:name w:val="Body Text Indent"/>
    <w:basedOn w:val="1"/>
    <w:next w:val="12"/>
    <w:autoRedefine/>
    <w:qFormat/>
    <w:uiPriority w:val="0"/>
    <w:pPr>
      <w:ind w:firstLine="645"/>
    </w:pPr>
    <w:rPr>
      <w:rFonts w:ascii="楷体_GB2312" w:eastAsia="楷体_GB2312"/>
      <w:sz w:val="32"/>
    </w:rPr>
  </w:style>
  <w:style w:type="paragraph" w:styleId="12">
    <w:name w:val="envelope return"/>
    <w:basedOn w:val="1"/>
    <w:autoRedefine/>
    <w:qFormat/>
    <w:uiPriority w:val="0"/>
    <w:pPr>
      <w:snapToGrid w:val="0"/>
    </w:pPr>
    <w:rPr>
      <w:rFonts w:ascii="Arial" w:hAnsi="Arial"/>
    </w:rPr>
  </w:style>
  <w:style w:type="paragraph" w:styleId="13">
    <w:name w:val="List 2"/>
    <w:basedOn w:val="1"/>
    <w:autoRedefine/>
    <w:qFormat/>
    <w:uiPriority w:val="0"/>
    <w:pPr>
      <w:ind w:left="100" w:leftChars="200" w:hanging="200" w:hangingChars="200"/>
    </w:pPr>
    <w:rPr>
      <w:szCs w:val="24"/>
    </w:rPr>
  </w:style>
  <w:style w:type="paragraph" w:styleId="14">
    <w:name w:val="Plain Text"/>
    <w:basedOn w:val="1"/>
    <w:link w:val="63"/>
    <w:autoRedefine/>
    <w:qFormat/>
    <w:uiPriority w:val="0"/>
    <w:rPr>
      <w:rFonts w:ascii="宋体" w:hAnsi="Courier New"/>
    </w:rPr>
  </w:style>
  <w:style w:type="paragraph" w:styleId="15">
    <w:name w:val="Date"/>
    <w:basedOn w:val="1"/>
    <w:next w:val="1"/>
    <w:autoRedefine/>
    <w:qFormat/>
    <w:uiPriority w:val="0"/>
    <w:rPr>
      <w:rFonts w:ascii="仿宋_GB2312" w:eastAsia="仿宋_GB2312"/>
      <w:sz w:val="30"/>
      <w:lang w:bidi="he-IL"/>
    </w:rPr>
  </w:style>
  <w:style w:type="paragraph" w:styleId="16">
    <w:name w:val="Body Text Indent 2"/>
    <w:basedOn w:val="1"/>
    <w:autoRedefine/>
    <w:qFormat/>
    <w:uiPriority w:val="0"/>
    <w:pPr>
      <w:ind w:left="216"/>
    </w:pPr>
    <w:rPr>
      <w:color w:val="000000"/>
      <w:kern w:val="0"/>
      <w:sz w:val="24"/>
      <w:szCs w:val="24"/>
    </w:rPr>
  </w:style>
  <w:style w:type="paragraph" w:styleId="17">
    <w:name w:val="Balloon Text"/>
    <w:basedOn w:val="1"/>
    <w:link w:val="61"/>
    <w:autoRedefine/>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szCs w:val="18"/>
    </w:rPr>
  </w:style>
  <w:style w:type="paragraph" w:styleId="19">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style>
  <w:style w:type="paragraph" w:styleId="21">
    <w:name w:val="List"/>
    <w:basedOn w:val="1"/>
    <w:autoRedefine/>
    <w:qFormat/>
    <w:uiPriority w:val="0"/>
    <w:pPr>
      <w:ind w:left="420" w:hanging="420"/>
    </w:pPr>
    <w:rPr>
      <w:rFonts w:ascii="Arial" w:hAnsi="Arial" w:eastAsia="楷体_GB2312"/>
      <w:sz w:val="28"/>
    </w:rPr>
  </w:style>
  <w:style w:type="paragraph" w:styleId="22">
    <w:name w:val="Body Text 2"/>
    <w:basedOn w:val="1"/>
    <w:autoRedefine/>
    <w:qFormat/>
    <w:uiPriority w:val="0"/>
    <w:pPr>
      <w:spacing w:after="120" w:line="480" w:lineRule="auto"/>
    </w:p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黑体" w:eastAsia="黑体" w:cs="黑体"/>
      <w:kern w:val="0"/>
      <w:sz w:val="24"/>
      <w:szCs w:val="24"/>
    </w:rPr>
  </w:style>
  <w:style w:type="paragraph" w:styleId="24">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25">
    <w:name w:val="index 1"/>
    <w:basedOn w:val="1"/>
    <w:next w:val="1"/>
    <w:autoRedefine/>
    <w:qFormat/>
    <w:uiPriority w:val="0"/>
    <w:rPr>
      <w:rFonts w:eastAsia="FangSong_GB2312"/>
      <w:b/>
      <w:sz w:val="24"/>
    </w:rPr>
  </w:style>
  <w:style w:type="paragraph" w:styleId="26">
    <w:name w:val="Body Text First Indent"/>
    <w:basedOn w:val="9"/>
    <w:autoRedefine/>
    <w:qFormat/>
    <w:uiPriority w:val="0"/>
    <w:pPr>
      <w:autoSpaceDE w:val="0"/>
      <w:autoSpaceDN w:val="0"/>
      <w:adjustRightInd w:val="0"/>
      <w:spacing w:after="0" w:line="360" w:lineRule="auto"/>
      <w:ind w:right="-24" w:rightChars="-10" w:firstLine="425" w:firstLineChars="225"/>
    </w:pPr>
    <w:rPr>
      <w:rFonts w:ascii="Arial" w:hAnsi="Arial" w:eastAsia="仿宋_GB2312" w:cs="Arial"/>
      <w:kern w:val="0"/>
      <w:sz w:val="24"/>
      <w:szCs w:val="32"/>
    </w:rPr>
  </w:style>
  <w:style w:type="paragraph" w:styleId="27">
    <w:name w:val="Body Text First Indent 2"/>
    <w:basedOn w:val="11"/>
    <w:next w:val="26"/>
    <w:autoRedefine/>
    <w:qFormat/>
    <w:uiPriority w:val="0"/>
    <w:pPr>
      <w:ind w:left="420" w:firstLine="420" w:firstLineChars="200"/>
    </w:p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autoRedefine/>
    <w:qFormat/>
    <w:uiPriority w:val="0"/>
    <w:rPr>
      <w:rFonts w:hint="default" w:ascii="Times New Roman"/>
    </w:rPr>
  </w:style>
  <w:style w:type="character" w:styleId="32">
    <w:name w:val="FollowedHyperlink"/>
    <w:basedOn w:val="30"/>
    <w:autoRedefine/>
    <w:qFormat/>
    <w:uiPriority w:val="0"/>
    <w:rPr>
      <w:color w:val="333333"/>
      <w:u w:val="none"/>
    </w:rPr>
  </w:style>
  <w:style w:type="character" w:styleId="33">
    <w:name w:val="Hyperlink"/>
    <w:autoRedefine/>
    <w:qFormat/>
    <w:uiPriority w:val="99"/>
    <w:rPr>
      <w:color w:val="0000FF"/>
      <w:u w:val="none"/>
    </w:rPr>
  </w:style>
  <w:style w:type="paragraph" w:customStyle="1" w:styleId="34">
    <w:name w:val="样式 标题 3 + 右侧:  0.49 字符"/>
    <w:basedOn w:val="4"/>
    <w:autoRedefine/>
    <w:qFormat/>
    <w:uiPriority w:val="99"/>
    <w:pPr>
      <w:ind w:right="137" w:firstLine="138" w:firstLineChars="49"/>
    </w:pPr>
    <w:rPr>
      <w:rFonts w:cs="宋体"/>
      <w:szCs w:val="20"/>
    </w:rPr>
  </w:style>
  <w:style w:type="character" w:customStyle="1" w:styleId="35">
    <w:name w:val="标题 1 Char"/>
    <w:basedOn w:val="30"/>
    <w:link w:val="2"/>
    <w:autoRedefine/>
    <w:qFormat/>
    <w:uiPriority w:val="99"/>
    <w:rPr>
      <w:b/>
      <w:bCs/>
      <w:kern w:val="44"/>
      <w:sz w:val="30"/>
      <w:szCs w:val="44"/>
    </w:rPr>
  </w:style>
  <w:style w:type="paragraph" w:customStyle="1" w:styleId="36">
    <w:name w:val="WPSOffice手动目录 1"/>
    <w:autoRedefine/>
    <w:qFormat/>
    <w:uiPriority w:val="0"/>
    <w:rPr>
      <w:rFonts w:ascii="Times New Roman" w:hAnsi="Times New Roman" w:eastAsia="宋体" w:cs="Times New Roman"/>
      <w:lang w:val="en-US" w:eastAsia="zh-CN" w:bidi="ar-SA"/>
    </w:rPr>
  </w:style>
  <w:style w:type="paragraph" w:customStyle="1" w:styleId="37">
    <w:name w:val="Default"/>
    <w:autoRedefine/>
    <w:qFormat/>
    <w:uiPriority w:val="0"/>
    <w:pPr>
      <w:widowControl w:val="0"/>
      <w:tabs>
        <w:tab w:val="left" w:pos="744"/>
        <w:tab w:val="left" w:pos="851"/>
      </w:tabs>
      <w:autoSpaceDE w:val="0"/>
      <w:autoSpaceDN w:val="0"/>
      <w:adjustRightInd w:val="0"/>
      <w:ind w:left="744" w:hanging="744"/>
    </w:pPr>
    <w:rPr>
      <w:rFonts w:ascii="Times New Roman" w:hAnsi="Times New Roman" w:eastAsia="宋体" w:cs="Times New Roman"/>
      <w:color w:val="000000"/>
      <w:sz w:val="24"/>
      <w:lang w:val="en-US" w:eastAsia="zh-CN" w:bidi="ar-SA"/>
    </w:rPr>
  </w:style>
  <w:style w:type="paragraph" w:styleId="38">
    <w:name w:val="List Paragraph"/>
    <w:basedOn w:val="1"/>
    <w:autoRedefine/>
    <w:qFormat/>
    <w:uiPriority w:val="99"/>
    <w:pPr>
      <w:ind w:firstLine="420" w:firstLineChars="200"/>
    </w:pPr>
  </w:style>
  <w:style w:type="paragraph" w:customStyle="1" w:styleId="39">
    <w:name w:val="p0"/>
    <w:basedOn w:val="1"/>
    <w:autoRedefine/>
    <w:qFormat/>
    <w:uiPriority w:val="0"/>
    <w:pPr>
      <w:widowControl/>
    </w:pPr>
    <w:rPr>
      <w:kern w:val="0"/>
      <w:szCs w:val="21"/>
    </w:rPr>
  </w:style>
  <w:style w:type="character" w:customStyle="1" w:styleId="40">
    <w:name w:val="font01"/>
    <w:basedOn w:val="30"/>
    <w:autoRedefine/>
    <w:qFormat/>
    <w:uiPriority w:val="0"/>
    <w:rPr>
      <w:rFonts w:hint="eastAsia" w:ascii="宋体" w:hAnsi="宋体" w:eastAsia="宋体" w:cs="宋体"/>
      <w:color w:val="000000"/>
      <w:sz w:val="21"/>
      <w:szCs w:val="21"/>
      <w:u w:val="none"/>
    </w:rPr>
  </w:style>
  <w:style w:type="paragraph" w:customStyle="1" w:styleId="41">
    <w:name w:val="*正文"/>
    <w:basedOn w:val="42"/>
    <w:autoRedefine/>
    <w:qFormat/>
    <w:uiPriority w:val="0"/>
  </w:style>
  <w:style w:type="paragraph" w:customStyle="1" w:styleId="42">
    <w:name w:val="方案文档"/>
    <w:basedOn w:val="1"/>
    <w:autoRedefine/>
    <w:qFormat/>
    <w:uiPriority w:val="0"/>
    <w:pPr>
      <w:adjustRightInd w:val="0"/>
      <w:snapToGrid w:val="0"/>
      <w:spacing w:before="120" w:after="120" w:line="360" w:lineRule="auto"/>
      <w:ind w:firstLine="480" w:firstLineChars="200"/>
      <w:jc w:val="left"/>
    </w:pPr>
    <w:rPr>
      <w:rFonts w:ascii="Arial" w:hAnsi="Arial"/>
      <w:sz w:val="24"/>
      <w:szCs w:val="24"/>
    </w:rPr>
  </w:style>
  <w:style w:type="paragraph" w:customStyle="1" w:styleId="43">
    <w:name w:val="1"/>
    <w:next w:val="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p15"/>
    <w:basedOn w:val="1"/>
    <w:autoRedefine/>
    <w:qFormat/>
    <w:uiPriority w:val="0"/>
    <w:pPr>
      <w:widowControl/>
      <w:jc w:val="center"/>
    </w:pPr>
    <w:rPr>
      <w:rFonts w:ascii="仿宋_GB2312" w:hAnsi="宋体" w:eastAsia="仿宋_GB2312" w:cs="宋体"/>
      <w:b/>
      <w:bCs/>
      <w:kern w:val="0"/>
      <w:sz w:val="28"/>
      <w:szCs w:val="28"/>
    </w:rPr>
  </w:style>
  <w:style w:type="paragraph" w:customStyle="1" w:styleId="46">
    <w:name w:val="Normal_5"/>
    <w:autoRedefine/>
    <w:qFormat/>
    <w:uiPriority w:val="0"/>
    <w:rPr>
      <w:rFonts w:ascii="Times New Roman" w:hAnsi="Times New Roman" w:eastAsia="Times New Roman" w:cs="Times New Roman"/>
      <w:sz w:val="24"/>
      <w:szCs w:val="24"/>
      <w:lang w:val="en-US" w:eastAsia="zh-CN" w:bidi="ar-SA"/>
    </w:rPr>
  </w:style>
  <w:style w:type="paragraph" w:customStyle="1" w:styleId="47">
    <w:name w:val="Normal_7"/>
    <w:autoRedefine/>
    <w:qFormat/>
    <w:uiPriority w:val="0"/>
    <w:rPr>
      <w:rFonts w:ascii="Times New Roman" w:hAnsi="Times New Roman" w:eastAsia="宋体" w:cs="Times New Roman"/>
      <w:sz w:val="21"/>
      <w:lang w:val="en-US" w:eastAsia="zh-CN" w:bidi="ar-SA"/>
    </w:rPr>
  </w:style>
  <w:style w:type="paragraph" w:customStyle="1" w:styleId="48">
    <w:name w:val="正文_0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2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0">
    <w:name w:val="style3"/>
    <w:autoRedefine/>
    <w:qFormat/>
    <w:uiPriority w:val="0"/>
  </w:style>
  <w:style w:type="paragraph" w:customStyle="1" w:styleId="51">
    <w:name w:val="首行缩进"/>
    <w:basedOn w:val="1"/>
    <w:autoRedefine/>
    <w:qFormat/>
    <w:uiPriority w:val="0"/>
    <w:pPr>
      <w:ind w:firstLine="480" w:firstLineChars="200"/>
    </w:pPr>
    <w:rPr>
      <w:lang w:val="zh-CN"/>
    </w:rPr>
  </w:style>
  <w:style w:type="character" w:customStyle="1" w:styleId="52">
    <w:name w:val="NormalCharacter"/>
    <w:autoRedefine/>
    <w:qFormat/>
    <w:uiPriority w:val="0"/>
  </w:style>
  <w:style w:type="paragraph" w:customStyle="1" w:styleId="53">
    <w:name w:val="BodyText1I2"/>
    <w:basedOn w:val="54"/>
    <w:autoRedefine/>
    <w:qFormat/>
    <w:uiPriority w:val="0"/>
    <w:pPr>
      <w:ind w:left="420" w:firstLine="420" w:firstLineChars="200"/>
    </w:pPr>
    <w:rPr>
      <w:rFonts w:eastAsia="宋?"/>
    </w:rPr>
  </w:style>
  <w:style w:type="paragraph" w:customStyle="1" w:styleId="54">
    <w:name w:val="BodyTextIndent"/>
    <w:basedOn w:val="1"/>
    <w:next w:val="55"/>
    <w:autoRedefine/>
    <w:qFormat/>
    <w:uiPriority w:val="0"/>
    <w:pPr>
      <w:spacing w:after="120"/>
      <w:ind w:left="200" w:leftChars="200"/>
    </w:pPr>
    <w:rPr>
      <w:rFonts w:ascii="宋体" w:hAnsi="宋体" w:cs="Calibri"/>
      <w:kern w:val="0"/>
    </w:rPr>
  </w:style>
  <w:style w:type="paragraph" w:customStyle="1" w:styleId="55">
    <w:name w:val="EnvelopeReturn"/>
    <w:basedOn w:val="1"/>
    <w:autoRedefine/>
    <w:qFormat/>
    <w:uiPriority w:val="0"/>
    <w:pPr>
      <w:snapToGrid w:val="0"/>
    </w:pPr>
    <w:rPr>
      <w:rFonts w:ascii="Arial" w:hAnsi="Arial"/>
    </w:rPr>
  </w:style>
  <w:style w:type="character" w:customStyle="1" w:styleId="56">
    <w:name w:val="font11"/>
    <w:basedOn w:val="30"/>
    <w:autoRedefine/>
    <w:qFormat/>
    <w:uiPriority w:val="0"/>
    <w:rPr>
      <w:rFonts w:hint="eastAsia" w:ascii="宋体" w:hAnsi="宋体" w:eastAsia="宋体" w:cs="宋体"/>
      <w:color w:val="000000"/>
      <w:sz w:val="24"/>
      <w:szCs w:val="24"/>
      <w:u w:val="none"/>
    </w:rPr>
  </w:style>
  <w:style w:type="paragraph" w:customStyle="1" w:styleId="57">
    <w:name w:val="正文 A"/>
    <w:autoRedefine/>
    <w:qFormat/>
    <w:uiPriority w:val="99"/>
    <w:pPr>
      <w:pBdr>
        <w:top w:val="none" w:color="FFFFFF" w:sz="0" w:space="31"/>
        <w:left w:val="none" w:color="FFFFFF" w:sz="0" w:space="31"/>
        <w:bottom w:val="none" w:color="FFFFFF" w:sz="0" w:space="31"/>
        <w:right w:val="none" w:color="FFFFFF" w:sz="0" w:space="31"/>
      </w:pBdr>
    </w:pPr>
    <w:rPr>
      <w:rFonts w:ascii="Helvetica" w:hAnsi="Helvetica" w:eastAsia="宋体" w:cs="Arial Unicode MS"/>
      <w:color w:val="000000"/>
      <w:sz w:val="22"/>
      <w:szCs w:val="22"/>
      <w:lang w:val="en-US" w:eastAsia="zh-CN" w:bidi="ar-SA"/>
    </w:rPr>
  </w:style>
  <w:style w:type="paragraph" w:customStyle="1" w:styleId="58">
    <w:name w:val="Table Paragraph"/>
    <w:basedOn w:val="1"/>
    <w:autoRedefine/>
    <w:qFormat/>
    <w:uiPriority w:val="1"/>
    <w:rPr>
      <w:rFonts w:ascii="宋体" w:hAnsi="宋体" w:cs="宋体"/>
      <w:lang w:val="zh-CN" w:bidi="zh-CN"/>
    </w:rPr>
  </w:style>
  <w:style w:type="paragraph" w:customStyle="1" w:styleId="59">
    <w:name w:val="Char Char Char Char Char Char Char1 Char"/>
    <w:basedOn w:val="1"/>
    <w:autoRedefine/>
    <w:qFormat/>
    <w:uiPriority w:val="0"/>
    <w:rPr>
      <w:rFonts w:ascii="Tahoma" w:hAnsi="Tahoma"/>
      <w:sz w:val="24"/>
    </w:rPr>
  </w:style>
  <w:style w:type="character" w:customStyle="1" w:styleId="60">
    <w:name w:val="文档结构图 Char"/>
    <w:basedOn w:val="30"/>
    <w:link w:val="6"/>
    <w:autoRedefine/>
    <w:qFormat/>
    <w:uiPriority w:val="0"/>
    <w:rPr>
      <w:rFonts w:ascii="宋体" w:hAnsi="Times New Roman"/>
      <w:kern w:val="2"/>
      <w:sz w:val="18"/>
      <w:szCs w:val="18"/>
    </w:rPr>
  </w:style>
  <w:style w:type="character" w:customStyle="1" w:styleId="61">
    <w:name w:val="批注框文本 Char"/>
    <w:basedOn w:val="30"/>
    <w:link w:val="17"/>
    <w:autoRedefine/>
    <w:qFormat/>
    <w:uiPriority w:val="0"/>
    <w:rPr>
      <w:rFonts w:ascii="Times New Roman" w:hAnsi="Times New Roman"/>
      <w:kern w:val="2"/>
      <w:sz w:val="18"/>
      <w:szCs w:val="18"/>
    </w:rPr>
  </w:style>
  <w:style w:type="character" w:customStyle="1" w:styleId="62">
    <w:name w:val="页眉 Char"/>
    <w:basedOn w:val="30"/>
    <w:link w:val="19"/>
    <w:autoRedefine/>
    <w:qFormat/>
    <w:uiPriority w:val="0"/>
    <w:rPr>
      <w:rFonts w:ascii="Times New Roman" w:hAnsi="Times New Roman"/>
      <w:kern w:val="2"/>
      <w:sz w:val="18"/>
      <w:szCs w:val="18"/>
    </w:rPr>
  </w:style>
  <w:style w:type="character" w:customStyle="1" w:styleId="63">
    <w:name w:val="纯文本 Char"/>
    <w:basedOn w:val="30"/>
    <w:link w:val="14"/>
    <w:autoRedefine/>
    <w:qFormat/>
    <w:locked/>
    <w:uiPriority w:val="0"/>
    <w:rPr>
      <w:rFonts w:ascii="宋体" w:hAnsi="Courier New"/>
      <w:kern w:val="2"/>
      <w:sz w:val="21"/>
    </w:rPr>
  </w:style>
  <w:style w:type="paragraph" w:customStyle="1" w:styleId="64">
    <w:name w:val="正文（缩进）"/>
    <w:basedOn w:val="1"/>
    <w:autoRedefine/>
    <w:qFormat/>
    <w:uiPriority w:val="0"/>
    <w:pPr>
      <w:widowControl/>
      <w:spacing w:before="156" w:after="156"/>
      <w:ind w:firstLine="480" w:firstLineChars="200"/>
      <w:jc w:val="left"/>
    </w:pPr>
    <w:rPr>
      <w:rFonts w:ascii="仿宋_GB2312" w:eastAsia="仿宋_GB2312"/>
      <w:kern w:val="0"/>
      <w:sz w:val="24"/>
      <w:szCs w:val="24"/>
    </w:rPr>
  </w:style>
  <w:style w:type="character" w:customStyle="1" w:styleId="65">
    <w:name w:val="apple-converted-space"/>
    <w:basedOn w:val="30"/>
    <w:autoRedefine/>
    <w:qFormat/>
    <w:uiPriority w:val="0"/>
  </w:style>
  <w:style w:type="character" w:customStyle="1" w:styleId="66">
    <w:name w:val="fontstyle01"/>
    <w:autoRedefine/>
    <w:qFormat/>
    <w:uiPriority w:val="0"/>
    <w:rPr>
      <w:rFonts w:hint="eastAsia" w:ascii="宋体" w:hAnsi="宋体" w:eastAsia="宋体"/>
      <w:color w:val="000000"/>
      <w:sz w:val="24"/>
      <w:szCs w:val="24"/>
    </w:rPr>
  </w:style>
  <w:style w:type="paragraph" w:customStyle="1" w:styleId="67">
    <w:name w:val="BodyText1I"/>
    <w:basedOn w:val="68"/>
    <w:autoRedefine/>
    <w:semiHidden/>
    <w:qFormat/>
    <w:uiPriority w:val="0"/>
    <w:pPr>
      <w:ind w:firstLine="420" w:firstLineChars="100"/>
    </w:pPr>
  </w:style>
  <w:style w:type="paragraph" w:customStyle="1" w:styleId="68">
    <w:name w:val="BodyText"/>
    <w:basedOn w:val="1"/>
    <w:autoRedefine/>
    <w:semiHidden/>
    <w:qFormat/>
    <w:uiPriority w:val="0"/>
    <w:pPr>
      <w:spacing w:after="120"/>
    </w:pPr>
  </w:style>
  <w:style w:type="paragraph" w:customStyle="1" w:styleId="69">
    <w:name w:val="模板普通正文"/>
    <w:basedOn w:val="11"/>
    <w:qFormat/>
    <w:uiPriority w:val="0"/>
    <w:pPr>
      <w:spacing w:beforeLines="50" w:after="10"/>
      <w:ind w:firstLine="490" w:firstLineChars="175"/>
      <w:jc w:val="left"/>
    </w:pPr>
  </w:style>
  <w:style w:type="paragraph" w:customStyle="1" w:styleId="70">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D385124E</Template>
  <Company>微软中国</Company>
  <Pages>63</Pages>
  <Words>30547</Words>
  <Characters>32345</Characters>
  <Lines>43</Lines>
  <Paragraphs>68</Paragraphs>
  <TotalTime>22</TotalTime>
  <ScaleCrop>false</ScaleCrop>
  <LinksUpToDate>false</LinksUpToDate>
  <CharactersWithSpaces>34190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2020-07-11T06:55:00Z</dcterms:created>
  <dc:creator>安天利信</dc:creator>
  <cp:lastModifiedBy>章瑾</cp:lastModifiedBy>
  <cp:lastPrinted>2024-04-09T08:02:00Z</cp:lastPrinted>
  <dcterms:modified xsi:type="dcterms:W3CDTF">2024-08-14T06:21:54Z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_DocHome">
    <vt:i4>-1008750027</vt:i4>
  </property>
  <property fmtid="{D5CDD505-2E9C-101B-9397-08002B2CF9AE}" pid="4" name="ICV">
    <vt:lpwstr>F2517967E8D14E98B623E98D7823384D_13</vt:lpwstr>
  </property>
</Properties>
</file>