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肥东县浮槎山文化旅游项目修筑林业直服设施使用林地规划方案编制项目</w:t>
      </w:r>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肥东县浮槎山文化旅游项目修筑林业直服设施使用林地规划方案编制项目</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HCZB-2023-ZB1605</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肥东县浮槎山文化旅游项目修筑林业直服设施使用林地规划方案编制项目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为保障浮槎山景区依法合规利用林业政策，保障景区森林防火安全,招标内容主要依据《修筑直接为林业生产经营服务的工程设施占用林地标准（试行）》（征求意见稿）梳理浮槎山景区现状林业用地，对浮槎山景区近远期林业直服设施需求与林业用地现状结合编制规划方案</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w:t>
      </w:r>
      <w:r>
        <w:rPr>
          <w:rFonts w:hint="eastAsia" w:hAnsi="宋体" w:cs="宋体"/>
          <w:color w:val="auto"/>
          <w:szCs w:val="18"/>
          <w:highlight w:val="none"/>
        </w:rPr>
        <w:t>包括但不限于编制规划方案并配合招标方过程中所有的论证、评审、评估工作</w:t>
      </w:r>
      <w:r>
        <w:rPr>
          <w:rFonts w:hint="eastAsia" w:hAnsi="宋体" w:cs="宋体"/>
          <w:color w:val="auto"/>
          <w:szCs w:val="18"/>
          <w:highlight w:val="none"/>
          <w:lang w:val="en-US" w:eastAsia="zh-CN"/>
        </w:rPr>
        <w:t>。</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29.5万元。</w:t>
      </w:r>
    </w:p>
    <w:p>
      <w:pPr>
        <w:autoSpaceDE w:val="0"/>
        <w:autoSpaceDN w:val="0"/>
        <w:adjustRightInd w:val="0"/>
        <w:spacing w:line="480" w:lineRule="exact"/>
        <w:ind w:left="210" w:leftChars="100" w:firstLine="420" w:firstLineChars="2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服务期限：具体设计任务下达后不超过30日历天内提交该项目方案；总服务期限约60天。</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.供应商须具有独立法人资格，提供有效的营业执照、税务登记证、组织机构代码证（三证合一的仅提供相应的营业执照）；</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.供应商资质要求</w:t>
      </w: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w:t>
      </w:r>
      <w:bookmarkStart w:id="14" w:name="_GoBack"/>
      <w:bookmarkEnd w:id="14"/>
    </w:p>
    <w:p>
      <w:pPr>
        <w:pStyle w:val="3"/>
        <w:spacing w:line="480" w:lineRule="exact"/>
        <w:ind w:firstLine="630" w:firstLineChars="300"/>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（1）具有测绘乙级资质；</w:t>
      </w:r>
    </w:p>
    <w:p>
      <w:pPr>
        <w:pStyle w:val="3"/>
        <w:spacing w:line="480" w:lineRule="exact"/>
        <w:ind w:firstLine="630" w:firstLineChars="300"/>
        <w:rPr>
          <w:rFonts w:hint="default"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（2）经营范围含林业调查规划设计或林业工程规划设计或林业专业及辅助性活动。</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pStyle w:val="3"/>
        <w:spacing w:line="480" w:lineRule="exact"/>
        <w:ind w:firstLine="630" w:firstLineChars="300"/>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 xml:space="preserve">4.本项目接受联合体投标。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获取磋商文件时间</w:t>
      </w:r>
    </w:p>
    <w:p>
      <w:pPr>
        <w:pStyle w:val="6"/>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11</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6</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11</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16</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点30分</w:t>
      </w:r>
      <w:r>
        <w:rPr>
          <w:rFonts w:hint="eastAsia" w:ascii="宋体" w:hAnsi="宋体"/>
          <w:bCs/>
          <w:color w:val="auto"/>
          <w:szCs w:val="21"/>
          <w:highlight w:val="none"/>
        </w:rPr>
        <w:t>（北京时间）</w:t>
      </w:r>
    </w:p>
    <w:p>
      <w:pPr>
        <w:pStyle w:val="6"/>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28359018"/>
      <w:bookmarkStart w:id="3" w:name="_Toc35393636"/>
      <w:bookmarkStart w:id="4" w:name="_Toc28359095"/>
      <w:bookmarkStart w:id="5" w:name="_Toc35393805"/>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6"/>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806"/>
      <w:bookmarkStart w:id="7" w:name="_Toc28359096"/>
      <w:bookmarkStart w:id="8" w:name="_Toc35393637"/>
      <w:bookmarkStart w:id="9" w:name="_Toc28359019"/>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35393807"/>
      <w:bookmarkStart w:id="11" w:name="_Toc35393638"/>
      <w:bookmarkStart w:id="12" w:name="_Toc28359020"/>
      <w:bookmarkStart w:id="13" w:name="_Toc2835909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pPr>
        <w:ind w:firstLine="420" w:firstLineChars="200"/>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4A72CE1"/>
    <w:rsid w:val="0C7821FA"/>
    <w:rsid w:val="1AE77B78"/>
    <w:rsid w:val="2793494B"/>
    <w:rsid w:val="51583E9B"/>
    <w:rsid w:val="5474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Ansi="Courier New"/>
    </w:rPr>
  </w:style>
  <w:style w:type="paragraph" w:customStyle="1" w:styleId="6">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1390</Words>
  <Characters>1635</Characters>
  <Lines>0</Lines>
  <Paragraphs>0</Paragraphs>
  <TotalTime>4</TotalTime>
  <ScaleCrop>false</ScaleCrop>
  <LinksUpToDate>false</LinksUpToDate>
  <CharactersWithSpaces>1647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2023-11-06T11:28:10Z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F4DF3D190B324A749AAD200DEDD84791_12</vt:lpwstr>
  </property>
</Properties>
</file>