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jc w:val="center"/>
        <w:rPr>
          <w:rFonts w:hint="eastAsia"/>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全国著名作家走进包公故里”采风活动执行项目</w:t>
      </w:r>
    </w:p>
    <w:p>
      <w:pPr>
        <w:pStyle w:val="3"/>
        <w:spacing w:line="500" w:lineRule="exact"/>
        <w:jc w:val="center"/>
        <w:rPr>
          <w:color w:val="000000" w:themeColor="text1"/>
          <w:sz w:val="32"/>
          <w:szCs w:val="32"/>
          <w:highlight w:val="none"/>
          <w14:textFill>
            <w14:solidFill>
              <w14:schemeClr w14:val="tx1"/>
            </w14:solidFill>
          </w14:textFill>
        </w:rPr>
      </w:pPr>
      <w:bookmarkStart w:id="14" w:name="_GoBack"/>
      <w:bookmarkEnd w:id="14"/>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“全国著名作家走进包公故里”采风活动执行项目</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HCZB-2023-ZB1445</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“全国著名作家走进包公故里”采风活动执行项目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为深入贯彻落实习近平新时代中国特色社会主义思想和习近平总书记关于文艺工作的重要论述，坚持以人民为中心的创作导向，为铸造安徽文学品牌，繁荣文学创作，充分发挥安徽省广大作家和文学工作者的积极性创造性，扶持新人新作，推动安徽新时代文学高质量发展，</w:t>
      </w:r>
      <w:r>
        <w:rPr>
          <w:rFonts w:hint="eastAsia" w:hAnsi="宋体" w:cs="宋体"/>
          <w:color w:val="auto"/>
          <w:szCs w:val="18"/>
          <w:highlight w:val="none"/>
          <w:lang w:eastAsia="zh-CN"/>
        </w:rPr>
        <w:t>计划</w:t>
      </w:r>
      <w:r>
        <w:rPr>
          <w:rFonts w:hint="eastAsia" w:hAnsi="宋体" w:cs="宋体"/>
          <w:color w:val="auto"/>
          <w:szCs w:val="18"/>
          <w:highlight w:val="none"/>
        </w:rPr>
        <w:t>举办“全国著名作家走进包公故里”采风活动。</w:t>
      </w:r>
      <w:r>
        <w:rPr>
          <w:rFonts w:hint="eastAsia" w:hAnsi="宋体" w:cs="宋体"/>
          <w:color w:val="auto"/>
          <w:szCs w:val="18"/>
          <w:highlight w:val="none"/>
          <w:lang w:eastAsia="zh-CN"/>
        </w:rPr>
        <w:t>拟</w:t>
      </w:r>
      <w:r>
        <w:rPr>
          <w:rFonts w:hint="eastAsia" w:hAnsi="宋体" w:cs="宋体"/>
          <w:color w:val="auto"/>
          <w:szCs w:val="18"/>
          <w:highlight w:val="none"/>
        </w:rPr>
        <w:t>组织</w:t>
      </w:r>
      <w:r>
        <w:rPr>
          <w:rFonts w:hint="eastAsia" w:hAnsi="宋体" w:cs="宋体"/>
          <w:color w:val="auto"/>
          <w:szCs w:val="18"/>
          <w:highlight w:val="none"/>
          <w:lang w:eastAsia="zh-CN"/>
        </w:rPr>
        <w:t>著名</w:t>
      </w:r>
      <w:r>
        <w:rPr>
          <w:rFonts w:hint="eastAsia" w:hAnsi="宋体" w:cs="宋体"/>
          <w:color w:val="auto"/>
          <w:szCs w:val="18"/>
          <w:highlight w:val="none"/>
        </w:rPr>
        <w:t>作家、评论家和媒体记者等走进</w:t>
      </w:r>
      <w:r>
        <w:rPr>
          <w:rFonts w:hint="eastAsia" w:hAnsi="宋体" w:cs="宋体"/>
          <w:color w:val="auto"/>
          <w:szCs w:val="18"/>
          <w:highlight w:val="none"/>
          <w:lang w:eastAsia="zh-CN"/>
        </w:rPr>
        <w:t>包公故里</w:t>
      </w:r>
      <w:r>
        <w:rPr>
          <w:rFonts w:hint="eastAsia" w:hAnsi="宋体" w:cs="宋体"/>
          <w:color w:val="auto"/>
          <w:szCs w:val="18"/>
          <w:highlight w:val="none"/>
        </w:rPr>
        <w:t>，开展采风创作活动，让更多的人了解肥东、关注肥东，通过采风采访、文学交流、讲座等系列活动，提升本土作家的创作水平。</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5.采购要求：</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（1）组织“全国著名作家走进包公故里”采访采风活动；</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（2）采访采风活动日程安排5天。采风内容以红色革命遗址、乡村振兴发展、扶贫开发、文化旅游等为主，由相关部门组织进行各有侧重点的采访采风，发掘创作素材、激发创作灵感，形成精品力作；</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（3）文学交流座谈会。召开1次座谈会，就肥东县的核心文化品牌的建立、中国“文学之乡”创建、文学创作等进行交流座谈；</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（4）文学讲座。由邀请来的著名作家给当地文学爱好者进行文学讲座等；</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（5）根据活动开展情况，设计本次活动的主题画面，并根据线上及线下宣传要求，配套设计包括但不限于海报、长图等系列设计内容。</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27万元。</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活动期限：</w:t>
      </w:r>
      <w:r>
        <w:rPr>
          <w:rFonts w:hint="eastAsia" w:ascii="宋体" w:hAnsi="宋体" w:eastAsia="宋体"/>
          <w:color w:val="auto"/>
          <w:szCs w:val="21"/>
          <w:highlight w:val="none"/>
          <w:shd w:val="clear" w:color="auto" w:fill="FFFFFF"/>
          <w:lang w:val="en-US" w:eastAsia="zh-CN"/>
        </w:rPr>
        <w:t>90个日历天</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拟选择1个</w:t>
      </w:r>
      <w:r>
        <w:rPr>
          <w:rFonts w:hint="eastAsia" w:ascii="宋体" w:hAnsi="宋体" w:eastAsia="宋体"/>
          <w:color w:val="auto"/>
          <w:szCs w:val="21"/>
          <w:highlight w:val="none"/>
          <w:shd w:val="clear" w:color="auto" w:fill="FFFFFF"/>
          <w:lang w:eastAsia="zh-CN"/>
        </w:rPr>
        <w:t>成交</w:t>
      </w:r>
      <w:r>
        <w:rPr>
          <w:rFonts w:hint="eastAsia" w:ascii="宋体" w:hAnsi="宋体" w:eastAsia="宋体"/>
          <w:color w:val="auto"/>
          <w:szCs w:val="21"/>
          <w:highlight w:val="none"/>
          <w:shd w:val="clear" w:color="auto" w:fill="FFFFFF"/>
        </w:rPr>
        <w:t>人</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.满足《中华人民共和国政府采购法》第二十二条规定；；</w:t>
      </w:r>
    </w:p>
    <w:p>
      <w:pPr>
        <w:pStyle w:val="4"/>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.落实政府采购政策需满足的资格要求：</w:t>
      </w:r>
      <w:r>
        <w:rPr>
          <w:rFonts w:hint="eastAsia" w:ascii="宋体" w:hAnsi="宋体" w:eastAsia="宋体"/>
          <w:color w:val="auto"/>
          <w:szCs w:val="21"/>
          <w:highlight w:val="none"/>
          <w:u w:val="single"/>
          <w:shd w:val="clear" w:color="auto" w:fill="FFFFFF"/>
          <w:lang w:eastAsia="zh-CN"/>
        </w:rPr>
        <w:t xml:space="preserve"> 无 </w:t>
      </w:r>
      <w:r>
        <w:rPr>
          <w:rFonts w:hint="eastAsia" w:ascii="宋体" w:hAnsi="宋体" w:eastAsia="宋体"/>
          <w:color w:val="auto"/>
          <w:szCs w:val="21"/>
          <w:highlight w:val="none"/>
          <w:shd w:val="clear" w:color="auto" w:fill="FFFFFF"/>
          <w:lang w:eastAsia="zh-CN"/>
        </w:rPr>
        <w:t>；</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eastAsia="zh-CN"/>
        </w:rPr>
        <w:t>3.本项目的特定资格要求：</w:t>
      </w:r>
      <w:r>
        <w:rPr>
          <w:rFonts w:hint="eastAsia" w:ascii="宋体" w:hAnsi="宋体" w:eastAsia="宋体"/>
          <w:color w:val="auto"/>
          <w:szCs w:val="21"/>
          <w:highlight w:val="none"/>
          <w:u w:val="single"/>
          <w:shd w:val="clear" w:color="auto" w:fill="FFFFFF"/>
          <w:lang w:val="en-US" w:eastAsia="zh-CN"/>
        </w:rPr>
        <w:t xml:space="preserve"> 无 </w:t>
      </w:r>
      <w:r>
        <w:rPr>
          <w:rFonts w:hint="eastAsia" w:ascii="宋体" w:hAnsi="宋体" w:eastAsia="宋体"/>
          <w:color w:val="auto"/>
          <w:szCs w:val="21"/>
          <w:highlight w:val="none"/>
          <w:shd w:val="clear" w:color="auto" w:fill="FFFFFF"/>
          <w:lang w:eastAsia="zh-CN"/>
        </w:rPr>
        <w:t>；</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5</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获取磋商文件时间</w:t>
      </w:r>
    </w:p>
    <w:p>
      <w:pPr>
        <w:pStyle w:val="7"/>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10</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19</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10</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29</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点30分</w:t>
      </w:r>
      <w:r>
        <w:rPr>
          <w:rFonts w:hint="eastAsia" w:ascii="宋体" w:hAnsi="宋体"/>
          <w:bCs/>
          <w:color w:val="auto"/>
          <w:szCs w:val="21"/>
          <w:highlight w:val="none"/>
        </w:rPr>
        <w:t>（北京时间）</w:t>
      </w:r>
    </w:p>
    <w:p>
      <w:pPr>
        <w:pStyle w:val="7"/>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28359095"/>
      <w:bookmarkStart w:id="3" w:name="_Toc28359018"/>
      <w:bookmarkStart w:id="4" w:name="_Toc35393805"/>
      <w:bookmarkStart w:id="5" w:name="_Toc35393636"/>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7"/>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637"/>
      <w:bookmarkStart w:id="7" w:name="_Toc35393806"/>
      <w:bookmarkStart w:id="8" w:name="_Toc28359096"/>
      <w:bookmarkStart w:id="9" w:name="_Toc28359019"/>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28359097"/>
      <w:bookmarkStart w:id="11" w:name="_Toc28359020"/>
      <w:bookmarkStart w:id="12" w:name="_Toc35393638"/>
      <w:bookmarkStart w:id="13" w:name="_Toc3539380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pPr>
        <w:ind w:firstLine="420" w:firstLineChars="200"/>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4A72CE1"/>
    <w:rsid w:val="0C7821FA"/>
    <w:rsid w:val="51583E9B"/>
    <w:rsid w:val="54747D03"/>
    <w:rsid w:val="6DB7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Plain Text"/>
    <w:basedOn w:val="1"/>
    <w:qFormat/>
    <w:uiPriority w:val="0"/>
    <w:rPr>
      <w:rFonts w:hAnsi="Courier New"/>
    </w:rPr>
  </w:style>
  <w:style w:type="paragraph" w:customStyle="1" w:styleId="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王敏</cp:lastModifiedBy>
  <dcterms:modified xsi:type="dcterms:W3CDTF">2023-10-19T01:06:40Z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F4DF3D190B324A749AAD200DEDD84791_12</vt:lpwstr>
  </property>
</Properties>
</file>