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肥东县浮槎山文化旅游项目宋山洼文化创意街区初步设计项目</w:t>
      </w:r>
      <w:r>
        <w:rPr>
          <w:color w:val="000000" w:themeColor="text1"/>
          <w:sz w:val="32"/>
          <w:szCs w:val="32"/>
          <w:highlight w:val="none"/>
          <w14:textFill>
            <w14:solidFill>
              <w14:schemeClr w14:val="tx1"/>
            </w14:solidFill>
          </w14:textFill>
        </w:rPr>
        <w:t>竞争性磋商公告</w:t>
      </w: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w:t>
      </w:r>
      <w:bookmarkStart w:id="14" w:name="_GoBack"/>
      <w:bookmarkEnd w:id="14"/>
      <w:r>
        <w:rPr>
          <w:rFonts w:hint="eastAsia" w:ascii="宋体" w:hAnsi="宋体" w:eastAsia="宋体" w:cs="宋体"/>
          <w:color w:val="000000" w:themeColor="text1"/>
          <w:szCs w:val="18"/>
          <w:highlight w:val="none"/>
          <w14:textFill>
            <w14:solidFill>
              <w14:schemeClr w14:val="tx1"/>
            </w14:solidFill>
          </w14:textFill>
        </w:rPr>
        <w:t>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肥东县浮槎山文化旅游项目宋山洼文化创意街区初步设计项目</w:t>
      </w:r>
      <w:r>
        <w:rPr>
          <w:rFonts w:ascii="宋体" w:hAnsi="宋体" w:eastAsia="宋体"/>
          <w:color w:val="000000" w:themeColor="text1"/>
          <w:szCs w:val="21"/>
          <w:highlight w:val="none"/>
          <w:shd w:val="clear" w:color="auto" w:fill="FFFFFF"/>
          <w14:textFill>
            <w14:solidFill>
              <w14:schemeClr w14:val="tx1"/>
            </w14:solidFill>
          </w14:textFill>
        </w:rPr>
        <w:t>进行竞争性磋商，欢迎具备条件的国内供应商参加磋商。</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HCZB-2023-ZB1342</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肥东县浮槎山文化旅游项目宋山洼文化创意街区初步设计项目</w:t>
      </w:r>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肥东县</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项目概况：拟在肥东县石塘镇新桥社区宋山洼打造文化创意街区。项目总建筑面积约 2611.63 平方米，其中改造 1747.86平方米，新建 863.77平方米。依托现有村庄资源，打造 6 间文创综合体和 1 套青年文化交流中心，涉及改造面积973.8平方</w:t>
      </w:r>
      <w:r>
        <w:rPr>
          <w:rFonts w:hint="eastAsia" w:hAnsi="宋体" w:cs="宋体"/>
          <w:color w:val="auto"/>
          <w:szCs w:val="18"/>
          <w:highlight w:val="none"/>
          <w:lang w:eastAsia="zh-CN"/>
        </w:rPr>
        <w:t>米</w:t>
      </w:r>
      <w:r>
        <w:rPr>
          <w:rFonts w:hint="eastAsia" w:hAnsi="宋体" w:cs="宋体"/>
          <w:color w:val="auto"/>
          <w:szCs w:val="18"/>
          <w:highlight w:val="none"/>
        </w:rPr>
        <w:t>，新建面积715.6平方米。改造和新建6 个公共配套空间，内容包括游客服务中心、医护中心、文化活动中心、山居超市、浮槎书院及村史和农耕展示馆，涉及改造面积422.98平方米，新建面积148.17平方米。并改造停车场，总停车位≥60 个，改造面积351.08平方米；并同步进行周边环境整治提升、室外道路、给排水、强弱电等基础配套工程</w:t>
      </w:r>
      <w:r>
        <w:rPr>
          <w:rFonts w:hint="eastAsia" w:hAnsi="宋体" w:cs="宋体"/>
          <w:color w:val="auto"/>
          <w:szCs w:val="18"/>
          <w:highlight w:val="none"/>
          <w:lang w:eastAsia="zh-CN"/>
        </w:rPr>
        <w:t>。</w:t>
      </w:r>
      <w:r>
        <w:rPr>
          <w:rFonts w:hint="eastAsia" w:ascii="宋体" w:hAnsi="宋体" w:eastAsia="宋体"/>
          <w:color w:val="auto"/>
          <w:szCs w:val="21"/>
          <w:highlight w:val="none"/>
          <w:shd w:val="clear" w:color="auto" w:fill="FFFFFF"/>
          <w:lang w:eastAsia="zh-CN"/>
        </w:rPr>
        <w:t>项目总投资估算4000万元。</w:t>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5.</w:t>
      </w:r>
      <w:r>
        <w:rPr>
          <w:rFonts w:hint="eastAsia" w:hAnsi="宋体" w:cs="宋体"/>
          <w:color w:val="auto"/>
          <w:szCs w:val="18"/>
          <w:highlight w:val="none"/>
          <w:lang w:val="en-US" w:eastAsia="zh-CN"/>
        </w:rPr>
        <w:t>招标范围：本次招标服务范围主要包括：1.勘探测绘（含物探）、方案设计、初步设计（含概算）、勘测定界等项目，初步设计阶段所需的相关咨询、设计、申报及评审等工作，所有成果必须通过相关管理部门的审核，以获取初步设计批复、控制价编制。2.包括（但不仅限）：设计内容包括对项目区域内房屋进行梳理、改造，及项目区域内环境提升和基础设施配套。采购人有权根据建设计划调整设计范围。</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28万元。</w:t>
      </w:r>
    </w:p>
    <w:p>
      <w:pPr>
        <w:autoSpaceDE w:val="0"/>
        <w:autoSpaceDN w:val="0"/>
        <w:adjustRightInd w:val="0"/>
        <w:spacing w:line="480" w:lineRule="exact"/>
        <w:ind w:left="210" w:leftChars="100" w:firstLine="420" w:firstLineChars="2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olor w:val="auto"/>
          <w:szCs w:val="21"/>
          <w:highlight w:val="none"/>
          <w:shd w:val="clear" w:color="auto" w:fill="FFFFFF"/>
          <w:lang w:eastAsia="zh-CN"/>
        </w:rPr>
        <w:t>设计期限：20 个日历天（自合同签订之日起算，合同签订后 20个日历天内完成全部服务成果内容），服务期限自合同签订之日起至工程总承包招标完成止</w:t>
      </w:r>
      <w:r>
        <w:rPr>
          <w:rFonts w:hint="eastAsia" w:ascii="宋体" w:hAnsi="宋体" w:eastAsia="宋体"/>
          <w:color w:val="auto"/>
          <w:szCs w:val="21"/>
          <w:highlight w:val="none"/>
          <w:shd w:val="clear" w:color="auto" w:fill="FFFFFF"/>
        </w:rPr>
        <w:t>。</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.采购方式：竞争性磋商。</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.供应商须具有独立法人资格，提供有效的营业执照、税务登记证、组织机构代码证（三证合一的仅提供相应的营业执照）；</w:t>
      </w:r>
    </w:p>
    <w:p>
      <w:pPr>
        <w:pStyle w:val="3"/>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rPr>
        <w:t>2</w:t>
      </w:r>
      <w:r>
        <w:rPr>
          <w:rFonts w:hint="eastAsia" w:ascii="宋体" w:hAnsi="宋体" w:eastAsia="宋体"/>
          <w:color w:val="auto"/>
          <w:szCs w:val="21"/>
          <w:highlight w:val="none"/>
          <w:shd w:val="clear" w:color="auto" w:fill="FFFFFF"/>
          <w:lang w:eastAsia="zh-CN"/>
        </w:rPr>
        <w:t>.供应商资质要求：供应商须具备以下资格条件之一：</w:t>
      </w:r>
    </w:p>
    <w:p>
      <w:pPr>
        <w:pStyle w:val="3"/>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lang w:val="en-US" w:eastAsia="zh-CN"/>
        </w:rPr>
        <w:t>1</w:t>
      </w:r>
      <w:r>
        <w:rPr>
          <w:rFonts w:hint="eastAsia" w:ascii="宋体" w:hAnsi="宋体" w:eastAsia="宋体"/>
          <w:color w:val="auto"/>
          <w:szCs w:val="21"/>
          <w:highlight w:val="none"/>
          <w:shd w:val="clear" w:color="auto" w:fill="FFFFFF"/>
          <w:lang w:eastAsia="zh-CN"/>
        </w:rPr>
        <w:t>）工程设计综合资质甲级；</w:t>
      </w:r>
    </w:p>
    <w:p>
      <w:pPr>
        <w:pStyle w:val="3"/>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lang w:val="en-US" w:eastAsia="zh-CN"/>
        </w:rPr>
        <w:t>2</w:t>
      </w:r>
      <w:r>
        <w:rPr>
          <w:rFonts w:hint="eastAsia" w:ascii="宋体" w:hAnsi="宋体" w:eastAsia="宋体"/>
          <w:color w:val="auto"/>
          <w:szCs w:val="21"/>
          <w:highlight w:val="none"/>
          <w:shd w:val="clear" w:color="auto" w:fill="FFFFFF"/>
          <w:lang w:eastAsia="zh-CN"/>
        </w:rPr>
        <w:t>）建筑行业（建筑工程）专业乙级及以上工程设计资质；</w:t>
      </w:r>
    </w:p>
    <w:p>
      <w:pPr>
        <w:pStyle w:val="3"/>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lang w:val="en-US" w:eastAsia="zh-CN"/>
        </w:rPr>
        <w:t>3</w:t>
      </w:r>
      <w:r>
        <w:rPr>
          <w:rFonts w:hint="eastAsia" w:ascii="宋体" w:hAnsi="宋体" w:eastAsia="宋体"/>
          <w:color w:val="auto"/>
          <w:szCs w:val="21"/>
          <w:highlight w:val="none"/>
          <w:shd w:val="clear" w:color="auto" w:fill="FFFFFF"/>
          <w:lang w:eastAsia="zh-CN"/>
        </w:rPr>
        <w:t>）建筑行业乙级及以上工程设计资质。</w:t>
      </w:r>
    </w:p>
    <w:p>
      <w:pPr>
        <w:pStyle w:val="3"/>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eastAsia="zh-CN"/>
        </w:rPr>
        <w:t>3.项目负责人资格：项目负责人须具备国家一级注册建筑师资格；</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4</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5</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本项目不接受联合体投标</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 </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三、</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获取磋商文件时间</w:t>
      </w:r>
    </w:p>
    <w:p>
      <w:pPr>
        <w:pStyle w:val="6"/>
        <w:widowControl w:val="0"/>
        <w:autoSpaceDE w:val="0"/>
        <w:autoSpaceDN w:val="0"/>
        <w:adjustRightInd w:val="0"/>
        <w:spacing w:before="0" w:after="0" w:line="480" w:lineRule="exact"/>
        <w:ind w:firstLine="42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09</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28</w:t>
      </w:r>
      <w:r>
        <w:rPr>
          <w:rFonts w:hint="eastAsia" w:ascii="宋体" w:hAnsi="宋体" w:eastAsia="宋体"/>
          <w:color w:val="auto"/>
          <w:kern w:val="2"/>
          <w:sz w:val="21"/>
          <w:szCs w:val="21"/>
          <w:highlight w:val="none"/>
        </w:rPr>
        <w:t>日至 202</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10</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11</w:t>
      </w:r>
      <w:r>
        <w:rPr>
          <w:rFonts w:hint="eastAsia" w:ascii="宋体" w:hAnsi="宋体" w:eastAsia="宋体"/>
          <w:color w:val="auto"/>
          <w:kern w:val="2"/>
          <w:sz w:val="21"/>
          <w:szCs w:val="21"/>
          <w:highlight w:val="none"/>
        </w:rPr>
        <w:t>日</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0元。磋商文件售后不退。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3</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日09点30分</w:t>
      </w:r>
      <w:r>
        <w:rPr>
          <w:rFonts w:hint="eastAsia" w:ascii="宋体" w:hAnsi="宋体"/>
          <w:bCs/>
          <w:color w:val="auto"/>
          <w:szCs w:val="21"/>
          <w:highlight w:val="none"/>
        </w:rPr>
        <w:t>（北京时间）</w:t>
      </w:r>
    </w:p>
    <w:p>
      <w:pPr>
        <w:pStyle w:val="6"/>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635"/>
      <w:bookmarkStart w:id="1" w:name="_Toc35393804"/>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35393805"/>
      <w:bookmarkStart w:id="3" w:name="_Toc28359095"/>
      <w:bookmarkStart w:id="4" w:name="_Toc35393636"/>
      <w:bookmarkStart w:id="5" w:name="_Toc28359018"/>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3.凡有意参加的供应商，请务必于获取文件截止时间前登录平台完成下载操作，否则将无法保证获取电子磋商文件。首次登录，需在平台免费注册，注册成功后完善供应商资料并绑定CA。</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磋商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6"/>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35393637"/>
      <w:bookmarkStart w:id="7" w:name="_Toc28359096"/>
      <w:bookmarkStart w:id="8" w:name="_Toc35393806"/>
      <w:bookmarkStart w:id="9" w:name="_Toc28359019"/>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28359097"/>
      <w:bookmarkStart w:id="11" w:name="_Toc28359020"/>
      <w:bookmarkStart w:id="12" w:name="_Toc35393638"/>
      <w:bookmarkStart w:id="13" w:name="_Toc35393807"/>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联系人：陈工</w:t>
      </w:r>
    </w:p>
    <w:p>
      <w:pPr>
        <w:pageBreakBefore w:val="0"/>
        <w:widowControl/>
        <w:kinsoku/>
        <w:wordWrap/>
        <w:overflowPunct/>
        <w:topLinePunct w:val="0"/>
        <w:bidi w:val="0"/>
        <w:snapToGrid/>
        <w:spacing w:line="480" w:lineRule="auto"/>
        <w:ind w:firstLine="420" w:firstLineChars="200"/>
        <w:jc w:val="left"/>
        <w:textAlignment w:val="auto"/>
      </w:pPr>
      <w:r>
        <w:rPr>
          <w:rFonts w:hint="eastAsia" w:ascii="宋体" w:hAnsi="宋体"/>
          <w:color w:val="auto"/>
          <w:szCs w:val="21"/>
          <w:highlight w:val="none"/>
          <w:lang w:val="en-US" w:eastAsia="zh-CN"/>
        </w:rPr>
        <w:t xml:space="preserve">联系方式： 0551-62620513   18155153891    </w:t>
      </w:r>
      <w:r>
        <w:rPr>
          <w:rFonts w:hint="eastAsia" w:ascii="宋体" w:hAnsi="宋体"/>
          <w:color w:val="000000" w:themeColor="text1"/>
          <w:szCs w:val="21"/>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4A72CE1"/>
    <w:rsid w:val="0C7821FA"/>
    <w:rsid w:val="4EC140E8"/>
    <w:rsid w:val="51583E9B"/>
    <w:rsid w:val="54747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rPr>
  </w:style>
  <w:style w:type="paragraph" w:customStyle="1" w:styleId="6">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2023-09-28T07:41:07Z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F4DF3D190B324A749AAD200DEDD84791_12</vt:lpwstr>
  </property>
</Properties>
</file>